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16" w:rsidRPr="00B87BBB" w:rsidRDefault="00B87BBB" w:rsidP="00650F7A">
      <w:pPr>
        <w:pStyle w:val="RdaliaTitredossier"/>
        <w:jc w:val="left"/>
        <w:rPr>
          <w:rFonts w:ascii="Times New Roman" w:hAnsi="Times New Roman"/>
          <w:noProof/>
        </w:rPr>
      </w:pPr>
      <w:r w:rsidRPr="00B87BBB">
        <w:rPr>
          <w:rFonts w:ascii="Times New Roman" w:hAnsi="Times New Roman"/>
          <w:noProof/>
        </w:rPr>
        <w:drawing>
          <wp:inline distT="0" distB="0" distL="0" distR="0" wp14:anchorId="19E2E33E">
            <wp:extent cx="2693454" cy="1085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228" cy="1088178"/>
                    </a:xfrm>
                    <a:prstGeom prst="rect">
                      <a:avLst/>
                    </a:prstGeom>
                    <a:noFill/>
                  </pic:spPr>
                </pic:pic>
              </a:graphicData>
            </a:graphic>
          </wp:inline>
        </w:drawing>
      </w:r>
    </w:p>
    <w:p w:rsidR="00DF1302" w:rsidRPr="00B87BBB" w:rsidRDefault="00DF1302" w:rsidP="00463216">
      <w:pPr>
        <w:pStyle w:val="RdaliaTitredossier"/>
        <w:rPr>
          <w:rFonts w:ascii="Times New Roman" w:hAnsi="Times New Roman"/>
          <w:sz w:val="32"/>
          <w:szCs w:val="32"/>
        </w:rPr>
      </w:pPr>
    </w:p>
    <w:p w:rsidR="00713658" w:rsidRPr="00B87BBB" w:rsidRDefault="00463216" w:rsidP="00463216">
      <w:pPr>
        <w:pStyle w:val="RdaliaTitredossier"/>
        <w:rPr>
          <w:rFonts w:ascii="Times New Roman" w:hAnsi="Times New Roman"/>
          <w:sz w:val="32"/>
          <w:szCs w:val="32"/>
        </w:rPr>
      </w:pPr>
      <w:r w:rsidRPr="00B87BBB">
        <w:rPr>
          <w:rFonts w:ascii="Times New Roman" w:hAnsi="Times New Roman"/>
          <w:sz w:val="32"/>
          <w:szCs w:val="32"/>
        </w:rPr>
        <w:t xml:space="preserve">SYNDICAT DEPARTEMENTAL D’ENERGIE </w:t>
      </w:r>
    </w:p>
    <w:p w:rsidR="00463216" w:rsidRPr="00B87BBB" w:rsidRDefault="00463216" w:rsidP="00463216">
      <w:pPr>
        <w:pStyle w:val="RdaliaTitredossier"/>
        <w:rPr>
          <w:rFonts w:ascii="Times New Roman" w:hAnsi="Times New Roman"/>
          <w:sz w:val="32"/>
          <w:szCs w:val="32"/>
        </w:rPr>
      </w:pPr>
      <w:r w:rsidRPr="00B87BBB">
        <w:rPr>
          <w:rFonts w:ascii="Times New Roman" w:hAnsi="Times New Roman"/>
          <w:sz w:val="32"/>
          <w:szCs w:val="32"/>
        </w:rPr>
        <w:t>DE LA SEINE</w:t>
      </w:r>
      <w:r w:rsidR="00DF1302" w:rsidRPr="00B87BBB">
        <w:rPr>
          <w:rFonts w:ascii="Times New Roman" w:hAnsi="Times New Roman"/>
          <w:sz w:val="32"/>
          <w:szCs w:val="32"/>
        </w:rPr>
        <w:t>-</w:t>
      </w:r>
      <w:r w:rsidRPr="00B87BBB">
        <w:rPr>
          <w:rFonts w:ascii="Times New Roman" w:hAnsi="Times New Roman"/>
          <w:sz w:val="32"/>
          <w:szCs w:val="32"/>
        </w:rPr>
        <w:t>MARITIME</w:t>
      </w:r>
    </w:p>
    <w:p w:rsidR="00463216" w:rsidRPr="00B87BBB" w:rsidRDefault="00463216" w:rsidP="00463216">
      <w:pPr>
        <w:jc w:val="both"/>
        <w:rPr>
          <w:snapToGrid w:val="0"/>
          <w:sz w:val="24"/>
        </w:rPr>
      </w:pPr>
    </w:p>
    <w:p w:rsidR="00463216" w:rsidRPr="00B87BBB" w:rsidRDefault="00463216" w:rsidP="00463216">
      <w:pPr>
        <w:jc w:val="both"/>
        <w:rPr>
          <w:snapToGrid w:val="0"/>
          <w:sz w:val="24"/>
        </w:rPr>
      </w:pPr>
      <w:bookmarkStart w:id="0" w:name="_GoBack"/>
      <w:bookmarkEnd w:id="0"/>
    </w:p>
    <w:p w:rsidR="004862B9" w:rsidRPr="00B87BBB" w:rsidRDefault="004862B9" w:rsidP="00463216">
      <w:pPr>
        <w:jc w:val="both"/>
        <w:rPr>
          <w:snapToGrid w:val="0"/>
          <w:sz w:val="24"/>
        </w:rPr>
      </w:pPr>
    </w:p>
    <w:p w:rsidR="009812CC" w:rsidRPr="00B87BBB" w:rsidRDefault="009812CC" w:rsidP="00747042">
      <w:pPr>
        <w:tabs>
          <w:tab w:val="left" w:pos="1134"/>
        </w:tabs>
        <w:jc w:val="center"/>
        <w:rPr>
          <w:snapToGrid w:val="0"/>
          <w:sz w:val="24"/>
        </w:rPr>
      </w:pPr>
    </w:p>
    <w:p w:rsidR="00A906FA" w:rsidRPr="00B87BBB" w:rsidRDefault="00F077B1" w:rsidP="00A906FA">
      <w:pPr>
        <w:pBdr>
          <w:top w:val="thickThinSmallGap" w:sz="24" w:space="1" w:color="auto"/>
          <w:left w:val="thickThinSmallGap" w:sz="24" w:space="4" w:color="auto"/>
          <w:bottom w:val="thinThickSmallGap" w:sz="24" w:space="1" w:color="auto"/>
          <w:right w:val="thinThickSmallGap" w:sz="24" w:space="4" w:color="auto"/>
        </w:pBdr>
        <w:shd w:val="clear" w:color="auto" w:fill="DBE5F1"/>
        <w:contextualSpacing/>
        <w:jc w:val="center"/>
        <w:rPr>
          <w:rFonts w:eastAsia="Arial"/>
          <w:sz w:val="32"/>
          <w:szCs w:val="32"/>
        </w:rPr>
      </w:pPr>
      <w:r w:rsidRPr="00B87BBB">
        <w:rPr>
          <w:rFonts w:eastAsia="Calibri"/>
          <w:noProof/>
        </w:rPr>
        <mc:AlternateContent>
          <mc:Choice Requires="wps">
            <w:drawing>
              <wp:anchor distT="0" distB="0" distL="114300" distR="114300" simplePos="0" relativeHeight="251657216" behindDoc="0" locked="0" layoutInCell="1" allowOverlap="1">
                <wp:simplePos x="0" y="0"/>
                <wp:positionH relativeFrom="column">
                  <wp:posOffset>5880735</wp:posOffset>
                </wp:positionH>
                <wp:positionV relativeFrom="paragraph">
                  <wp:posOffset>-673100</wp:posOffset>
                </wp:positionV>
                <wp:extent cx="566420" cy="25209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99" w:rsidRPr="00A906FA" w:rsidRDefault="00171099" w:rsidP="00A906FA">
                            <w:pPr>
                              <w:rPr>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63.05pt;margin-top:-53pt;width:44.6pt;height:19.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" stroked="f">
                <v:textbox style="mso-fit-shape-to-text:t">
                  <w:txbxContent>
                    <w:p w:rsidR="00171099" w:rsidRPr="00A906FA" w:rsidRDefault="00171099" w:rsidP="00A906FA">
                      <w:pPr>
                        <w:rPr>
                          <w:szCs w:val="28"/>
                        </w:rPr>
                      </w:pPr>
                    </w:p>
                  </w:txbxContent>
                </v:textbox>
              </v:shape>
            </w:pict>
          </mc:Fallback>
        </mc:AlternateContent>
      </w:r>
      <w:r w:rsidR="00A906FA" w:rsidRPr="00B87BBB">
        <w:rPr>
          <w:rFonts w:eastAsia="Arial"/>
          <w:b/>
          <w:bCs/>
          <w:sz w:val="32"/>
          <w:szCs w:val="32"/>
        </w:rPr>
        <w:t xml:space="preserve">Convention pour la constitution d’un groupement de commandes pour l’achat </w:t>
      </w:r>
      <w:r w:rsidR="00FC0364" w:rsidRPr="00B87BBB">
        <w:rPr>
          <w:rFonts w:eastAsia="Arial"/>
          <w:b/>
          <w:bCs/>
          <w:sz w:val="32"/>
          <w:szCs w:val="32"/>
        </w:rPr>
        <w:t>de fourniture d’</w:t>
      </w:r>
      <w:r w:rsidR="00A906FA" w:rsidRPr="00B87BBB">
        <w:rPr>
          <w:rFonts w:eastAsia="Arial"/>
          <w:b/>
          <w:bCs/>
          <w:sz w:val="32"/>
          <w:szCs w:val="32"/>
        </w:rPr>
        <w:t>é</w:t>
      </w:r>
      <w:r w:rsidRPr="00B87BBB">
        <w:rPr>
          <w:rFonts w:eastAsia="Arial"/>
          <w:b/>
          <w:bCs/>
          <w:sz w:val="32"/>
          <w:szCs w:val="32"/>
        </w:rPr>
        <w:t>nergie</w:t>
      </w:r>
      <w:r w:rsidR="00FC0364" w:rsidRPr="00B87BBB">
        <w:rPr>
          <w:rFonts w:eastAsia="Arial"/>
          <w:b/>
          <w:bCs/>
          <w:sz w:val="32"/>
          <w:szCs w:val="32"/>
        </w:rPr>
        <w:t xml:space="preserve"> </w:t>
      </w:r>
      <w:r w:rsidR="00A906FA" w:rsidRPr="00B87BBB">
        <w:rPr>
          <w:rFonts w:eastAsia="Arial"/>
          <w:b/>
          <w:bCs/>
          <w:sz w:val="32"/>
          <w:szCs w:val="32"/>
        </w:rPr>
        <w:t xml:space="preserve">et de services </w:t>
      </w:r>
      <w:r w:rsidR="00271778" w:rsidRPr="00B87BBB">
        <w:rPr>
          <w:rFonts w:eastAsia="Arial"/>
          <w:b/>
          <w:bCs/>
          <w:sz w:val="32"/>
          <w:szCs w:val="32"/>
        </w:rPr>
        <w:t>associés</w:t>
      </w:r>
    </w:p>
    <w:p w:rsidR="00A906FA" w:rsidRPr="00B87BBB" w:rsidRDefault="00A906FA" w:rsidP="00A906FA">
      <w:pPr>
        <w:contextualSpacing/>
        <w:jc w:val="both"/>
        <w:rPr>
          <w:sz w:val="24"/>
          <w:szCs w:val="24"/>
        </w:rPr>
      </w:pPr>
    </w:p>
    <w:p w:rsidR="000E28FC" w:rsidRPr="00B87BBB" w:rsidRDefault="000E28FC" w:rsidP="00463216">
      <w:pPr>
        <w:jc w:val="both"/>
        <w:rPr>
          <w:snapToGrid w:val="0"/>
          <w:sz w:val="24"/>
        </w:rPr>
      </w:pPr>
    </w:p>
    <w:p w:rsidR="00A906FA" w:rsidRPr="00B87BBB" w:rsidRDefault="00A906FA" w:rsidP="00A906FA">
      <w:pPr>
        <w:jc w:val="center"/>
        <w:rPr>
          <w:b/>
          <w:snapToGrid w:val="0"/>
          <w:sz w:val="24"/>
          <w:u w:val="single"/>
        </w:rPr>
      </w:pPr>
      <w:r w:rsidRPr="00B87BBB">
        <w:rPr>
          <w:b/>
          <w:snapToGrid w:val="0"/>
          <w:sz w:val="24"/>
          <w:u w:val="single"/>
        </w:rPr>
        <w:t>Pouvoir adjudicateur et coordonnateur du groupement</w:t>
      </w:r>
    </w:p>
    <w:p w:rsidR="00A906FA" w:rsidRPr="00B87BBB" w:rsidRDefault="00A906FA" w:rsidP="00A906FA">
      <w:pPr>
        <w:jc w:val="center"/>
        <w:rPr>
          <w:snapToGrid w:val="0"/>
          <w:sz w:val="24"/>
          <w:u w:val="single"/>
        </w:rPr>
      </w:pPr>
    </w:p>
    <w:p w:rsidR="00A906FA" w:rsidRPr="00B87BBB" w:rsidRDefault="00A906FA" w:rsidP="00A906FA">
      <w:pPr>
        <w:jc w:val="center"/>
        <w:rPr>
          <w:snapToGrid w:val="0"/>
          <w:sz w:val="24"/>
        </w:rPr>
      </w:pPr>
      <w:r w:rsidRPr="00B87BBB">
        <w:rPr>
          <w:snapToGrid w:val="0"/>
          <w:sz w:val="24"/>
        </w:rPr>
        <w:t>Syndicat Départemental d’Energie de la Seine</w:t>
      </w:r>
      <w:r w:rsidR="00DF1302" w:rsidRPr="00B87BBB">
        <w:rPr>
          <w:snapToGrid w:val="0"/>
          <w:sz w:val="24"/>
        </w:rPr>
        <w:t>-</w:t>
      </w:r>
      <w:r w:rsidRPr="00B87BBB">
        <w:rPr>
          <w:snapToGrid w:val="0"/>
          <w:sz w:val="24"/>
        </w:rPr>
        <w:t>Maritime (SDE76)</w:t>
      </w:r>
    </w:p>
    <w:p w:rsidR="00AF2977" w:rsidRPr="00B87BBB" w:rsidRDefault="00AF2977" w:rsidP="00A906FA">
      <w:pPr>
        <w:jc w:val="center"/>
        <w:rPr>
          <w:snapToGrid w:val="0"/>
          <w:sz w:val="24"/>
        </w:rPr>
      </w:pPr>
      <w:r w:rsidRPr="00B87BBB">
        <w:rPr>
          <w:snapToGrid w:val="0"/>
          <w:sz w:val="24"/>
        </w:rPr>
        <w:t>ZAC la plaine de la Ronce – 240 rue Augustin Fresnel – CS20931</w:t>
      </w:r>
    </w:p>
    <w:p w:rsidR="00A906FA" w:rsidRPr="00B87BBB" w:rsidRDefault="00A906FA" w:rsidP="00A906FA">
      <w:pPr>
        <w:jc w:val="center"/>
        <w:rPr>
          <w:snapToGrid w:val="0"/>
          <w:sz w:val="24"/>
        </w:rPr>
      </w:pPr>
      <w:r w:rsidRPr="00B87BBB">
        <w:rPr>
          <w:snapToGrid w:val="0"/>
          <w:sz w:val="24"/>
        </w:rPr>
        <w:t>76</w:t>
      </w:r>
      <w:r w:rsidR="00AF2977" w:rsidRPr="00B87BBB">
        <w:rPr>
          <w:snapToGrid w:val="0"/>
          <w:sz w:val="24"/>
        </w:rPr>
        <w:t>237</w:t>
      </w:r>
      <w:r w:rsidRPr="00B87BBB">
        <w:rPr>
          <w:snapToGrid w:val="0"/>
          <w:sz w:val="24"/>
        </w:rPr>
        <w:t xml:space="preserve"> </w:t>
      </w:r>
      <w:proofErr w:type="spellStart"/>
      <w:r w:rsidR="00AF2977" w:rsidRPr="00B87BBB">
        <w:rPr>
          <w:snapToGrid w:val="0"/>
          <w:sz w:val="24"/>
        </w:rPr>
        <w:t>Isneauville</w:t>
      </w:r>
      <w:proofErr w:type="spellEnd"/>
      <w:r w:rsidR="00AF2977" w:rsidRPr="00B87BBB">
        <w:rPr>
          <w:snapToGrid w:val="0"/>
          <w:sz w:val="24"/>
        </w:rPr>
        <w:t xml:space="preserve"> Cedex</w:t>
      </w:r>
    </w:p>
    <w:p w:rsidR="000E28FC" w:rsidRPr="00B87BBB" w:rsidRDefault="000E28FC" w:rsidP="00463216">
      <w:pPr>
        <w:jc w:val="both"/>
        <w:rPr>
          <w:snapToGrid w:val="0"/>
          <w:sz w:val="24"/>
        </w:rPr>
      </w:pPr>
    </w:p>
    <w:p w:rsidR="00A906FA" w:rsidRPr="00B87BBB" w:rsidRDefault="00D90BC1" w:rsidP="00A906FA">
      <w:pPr>
        <w:contextualSpacing/>
        <w:jc w:val="both"/>
        <w:rPr>
          <w:sz w:val="24"/>
          <w:szCs w:val="24"/>
        </w:rPr>
      </w:pPr>
      <w:r w:rsidRPr="00B87BBB">
        <w:rPr>
          <w:sz w:val="24"/>
          <w:szCs w:val="24"/>
        </w:rPr>
        <w:t>A</w:t>
      </w:r>
      <w:r w:rsidR="00B87BBB">
        <w:rPr>
          <w:sz w:val="24"/>
          <w:szCs w:val="24"/>
        </w:rPr>
        <w:t xml:space="preserve"> </w:t>
      </w:r>
      <w:r w:rsidRPr="00B87BBB">
        <w:rPr>
          <w:sz w:val="24"/>
          <w:szCs w:val="24"/>
        </w:rPr>
        <w:t xml:space="preserve">la date du : </w:t>
      </w:r>
      <w:r w:rsidR="00B87BBB">
        <w:rPr>
          <w:sz w:val="24"/>
          <w:szCs w:val="24"/>
          <w:highlight w:val="yellow"/>
        </w:rPr>
        <w:t>XX</w:t>
      </w:r>
      <w:r w:rsidRPr="00B87BBB">
        <w:rPr>
          <w:sz w:val="24"/>
          <w:szCs w:val="24"/>
          <w:highlight w:val="yellow"/>
        </w:rPr>
        <w:t>/</w:t>
      </w:r>
      <w:r w:rsidR="00B87BBB">
        <w:rPr>
          <w:sz w:val="24"/>
          <w:szCs w:val="24"/>
          <w:highlight w:val="yellow"/>
        </w:rPr>
        <w:t>XX</w:t>
      </w:r>
      <w:r w:rsidRPr="00B87BBB">
        <w:rPr>
          <w:sz w:val="24"/>
          <w:szCs w:val="24"/>
          <w:highlight w:val="yellow"/>
        </w:rPr>
        <w:t>/</w:t>
      </w:r>
      <w:r w:rsidR="00B87BBB" w:rsidRPr="00B87BBB">
        <w:rPr>
          <w:sz w:val="24"/>
          <w:szCs w:val="24"/>
          <w:highlight w:val="yellow"/>
        </w:rPr>
        <w:t>XXXX</w:t>
      </w:r>
      <w:r w:rsidRPr="00B87BBB">
        <w:rPr>
          <w:sz w:val="24"/>
          <w:szCs w:val="24"/>
        </w:rPr>
        <w:t>, i</w:t>
      </w:r>
      <w:r w:rsidR="00A906FA" w:rsidRPr="00B87BBB">
        <w:rPr>
          <w:sz w:val="24"/>
          <w:szCs w:val="24"/>
        </w:rPr>
        <w:t xml:space="preserve">l est constitué un groupement de commandes, entre les entités désignées infra : </w:t>
      </w:r>
    </w:p>
    <w:p w:rsidR="000E28FC" w:rsidRPr="00B87BBB" w:rsidRDefault="000E28FC" w:rsidP="00463216">
      <w:pPr>
        <w:jc w:val="both"/>
        <w:rPr>
          <w:snapToGrid w:val="0"/>
          <w:sz w:val="24"/>
        </w:rPr>
      </w:pPr>
    </w:p>
    <w:p w:rsidR="0081607C" w:rsidRPr="00B87BBB" w:rsidRDefault="0081607C" w:rsidP="00463216">
      <w:pPr>
        <w:jc w:val="both"/>
        <w:rPr>
          <w:snapToGrid w:val="0"/>
          <w:sz w:val="24"/>
        </w:rPr>
      </w:pPr>
    </w:p>
    <w:p w:rsidR="000C644D" w:rsidRPr="00B87BBB" w:rsidRDefault="00DF1302" w:rsidP="00DF1302">
      <w:pPr>
        <w:jc w:val="both"/>
        <w:rPr>
          <w:snapToGrid w:val="0"/>
          <w:sz w:val="24"/>
          <w:szCs w:val="24"/>
        </w:rPr>
      </w:pPr>
      <w:proofErr w:type="gramStart"/>
      <w:r w:rsidRPr="00B87BBB">
        <w:rPr>
          <w:b/>
          <w:snapToGrid w:val="0"/>
          <w:sz w:val="32"/>
          <w:szCs w:val="32"/>
        </w:rPr>
        <w:t>e</w:t>
      </w:r>
      <w:r w:rsidR="0081607C" w:rsidRPr="00B87BBB">
        <w:rPr>
          <w:b/>
          <w:snapToGrid w:val="0"/>
          <w:sz w:val="32"/>
          <w:szCs w:val="32"/>
        </w:rPr>
        <w:t>ntre</w:t>
      </w:r>
      <w:proofErr w:type="gramEnd"/>
      <w:r w:rsidRPr="00B87BBB">
        <w:rPr>
          <w:b/>
          <w:snapToGrid w:val="0"/>
          <w:sz w:val="32"/>
          <w:szCs w:val="32"/>
        </w:rPr>
        <w:t xml:space="preserve"> </w:t>
      </w:r>
      <w:r w:rsidR="000E28FC" w:rsidRPr="00B87BBB">
        <w:rPr>
          <w:snapToGrid w:val="0"/>
          <w:sz w:val="24"/>
          <w:szCs w:val="24"/>
        </w:rPr>
        <w:t>l</w:t>
      </w:r>
      <w:r w:rsidR="0081607C" w:rsidRPr="00B87BBB">
        <w:rPr>
          <w:snapToGrid w:val="0"/>
          <w:sz w:val="24"/>
          <w:szCs w:val="24"/>
        </w:rPr>
        <w:t xml:space="preserve">e Syndicat Départemental </w:t>
      </w:r>
      <w:r w:rsidR="00B87BBB">
        <w:rPr>
          <w:snapToGrid w:val="0"/>
          <w:sz w:val="24"/>
          <w:szCs w:val="24"/>
        </w:rPr>
        <w:t>d’Energie de la Seine-Maritime (</w:t>
      </w:r>
      <w:r w:rsidR="00503C05" w:rsidRPr="00B87BBB">
        <w:rPr>
          <w:snapToGrid w:val="0"/>
          <w:sz w:val="24"/>
          <w:szCs w:val="24"/>
        </w:rPr>
        <w:t>SDE76</w:t>
      </w:r>
      <w:r w:rsidR="00B87BBB">
        <w:rPr>
          <w:snapToGrid w:val="0"/>
          <w:sz w:val="24"/>
          <w:szCs w:val="24"/>
        </w:rPr>
        <w:t>)</w:t>
      </w:r>
      <w:r w:rsidR="00503C05" w:rsidRPr="00B87BBB">
        <w:rPr>
          <w:snapToGrid w:val="0"/>
          <w:sz w:val="24"/>
          <w:szCs w:val="24"/>
        </w:rPr>
        <w:t xml:space="preserve">, </w:t>
      </w:r>
      <w:r w:rsidR="0081607C" w:rsidRPr="00B87BBB">
        <w:rPr>
          <w:snapToGrid w:val="0"/>
          <w:sz w:val="24"/>
          <w:szCs w:val="24"/>
        </w:rPr>
        <w:t>représenté</w:t>
      </w:r>
      <w:r w:rsidR="000E28FC" w:rsidRPr="00B87BBB">
        <w:rPr>
          <w:snapToGrid w:val="0"/>
          <w:sz w:val="24"/>
          <w:szCs w:val="24"/>
        </w:rPr>
        <w:t xml:space="preserve"> </w:t>
      </w:r>
      <w:r w:rsidR="0081607C" w:rsidRPr="00B87BBB">
        <w:rPr>
          <w:snapToGrid w:val="0"/>
          <w:sz w:val="24"/>
          <w:szCs w:val="24"/>
        </w:rPr>
        <w:t>par</w:t>
      </w:r>
      <w:r w:rsidR="00E128F8" w:rsidRPr="00B87BBB">
        <w:rPr>
          <w:snapToGrid w:val="0"/>
          <w:sz w:val="24"/>
          <w:szCs w:val="24"/>
        </w:rPr>
        <w:t xml:space="preserve"> </w:t>
      </w:r>
      <w:r w:rsidR="0081607C" w:rsidRPr="00B87BBB">
        <w:rPr>
          <w:snapToGrid w:val="0"/>
          <w:sz w:val="24"/>
          <w:szCs w:val="24"/>
        </w:rPr>
        <w:t xml:space="preserve">son Président, Monsieur </w:t>
      </w:r>
      <w:r w:rsidR="00A906FA" w:rsidRPr="00B87BBB">
        <w:rPr>
          <w:snapToGrid w:val="0"/>
          <w:sz w:val="24"/>
          <w:szCs w:val="24"/>
        </w:rPr>
        <w:t>Patrick Chauvet</w:t>
      </w:r>
      <w:r w:rsidR="0081607C" w:rsidRPr="00B87BBB">
        <w:rPr>
          <w:snapToGrid w:val="0"/>
          <w:sz w:val="24"/>
          <w:szCs w:val="24"/>
        </w:rPr>
        <w:t>, agissant en vertu</w:t>
      </w:r>
      <w:r w:rsidR="00E128F8" w:rsidRPr="00B87BBB">
        <w:rPr>
          <w:snapToGrid w:val="0"/>
          <w:sz w:val="24"/>
          <w:szCs w:val="24"/>
        </w:rPr>
        <w:t xml:space="preserve"> </w:t>
      </w:r>
      <w:r w:rsidR="0081607C" w:rsidRPr="00B87BBB">
        <w:rPr>
          <w:snapToGrid w:val="0"/>
          <w:sz w:val="24"/>
          <w:szCs w:val="24"/>
        </w:rPr>
        <w:t>de la délibération</w:t>
      </w:r>
      <w:r w:rsidR="00E128F8" w:rsidRPr="00B87BBB">
        <w:rPr>
          <w:snapToGrid w:val="0"/>
          <w:sz w:val="24"/>
          <w:szCs w:val="24"/>
        </w:rPr>
        <w:t xml:space="preserve"> </w:t>
      </w:r>
      <w:r w:rsidR="00AF2977" w:rsidRPr="00B87BBB">
        <w:rPr>
          <w:snapToGrid w:val="0"/>
          <w:sz w:val="24"/>
          <w:szCs w:val="24"/>
          <w:highlight w:val="yellow"/>
        </w:rPr>
        <w:t>XXX</w:t>
      </w:r>
      <w:r w:rsidR="000E28FC" w:rsidRPr="00B87BBB">
        <w:rPr>
          <w:snapToGrid w:val="0"/>
          <w:sz w:val="24"/>
          <w:szCs w:val="24"/>
        </w:rPr>
        <w:t>,</w:t>
      </w:r>
    </w:p>
    <w:p w:rsidR="00DF1302" w:rsidRPr="00B87BBB" w:rsidRDefault="00DF1302" w:rsidP="00DF1302">
      <w:pPr>
        <w:jc w:val="both"/>
        <w:rPr>
          <w:snapToGrid w:val="0"/>
          <w:sz w:val="32"/>
          <w:szCs w:val="32"/>
        </w:rPr>
      </w:pPr>
    </w:p>
    <w:p w:rsidR="000E28FC" w:rsidRPr="00B87BBB" w:rsidRDefault="00DF1302" w:rsidP="001D2CD9">
      <w:pPr>
        <w:spacing w:after="120"/>
        <w:jc w:val="both"/>
        <w:rPr>
          <w:b/>
          <w:snapToGrid w:val="0"/>
          <w:sz w:val="32"/>
          <w:szCs w:val="32"/>
        </w:rPr>
      </w:pPr>
      <w:proofErr w:type="gramStart"/>
      <w:r w:rsidRPr="00B87BBB">
        <w:rPr>
          <w:b/>
          <w:snapToGrid w:val="0"/>
          <w:sz w:val="32"/>
          <w:szCs w:val="32"/>
        </w:rPr>
        <w:t>e</w:t>
      </w:r>
      <w:r w:rsidR="000E28FC" w:rsidRPr="00B87BBB">
        <w:rPr>
          <w:b/>
          <w:snapToGrid w:val="0"/>
          <w:sz w:val="32"/>
          <w:szCs w:val="32"/>
        </w:rPr>
        <w:t>t</w:t>
      </w:r>
      <w:proofErr w:type="gramEnd"/>
    </w:p>
    <w:tbl>
      <w:tblPr>
        <w:tblStyle w:val="Grilledutableau"/>
        <w:tblW w:w="0" w:type="auto"/>
        <w:tblLook w:val="04A0" w:firstRow="1" w:lastRow="0" w:firstColumn="1" w:lastColumn="0" w:noHBand="0" w:noVBand="1"/>
      </w:tblPr>
      <w:tblGrid>
        <w:gridCol w:w="2839"/>
        <w:gridCol w:w="2603"/>
        <w:gridCol w:w="2363"/>
        <w:gridCol w:w="1824"/>
      </w:tblGrid>
      <w:tr w:rsidR="00D90BC1" w:rsidRPr="00B87BBB" w:rsidTr="00992B47">
        <w:trPr>
          <w:trHeight w:val="722"/>
        </w:trPr>
        <w:tc>
          <w:tcPr>
            <w:tcW w:w="2839" w:type="dxa"/>
            <w:vAlign w:val="center"/>
          </w:tcPr>
          <w:p w:rsidR="00D90BC1" w:rsidRPr="00B87BBB" w:rsidRDefault="00D90BC1" w:rsidP="003302B8">
            <w:pPr>
              <w:tabs>
                <w:tab w:val="left" w:pos="10224"/>
              </w:tabs>
              <w:jc w:val="center"/>
              <w:rPr>
                <w:b/>
                <w:snapToGrid w:val="0"/>
                <w:sz w:val="24"/>
                <w:szCs w:val="24"/>
              </w:rPr>
            </w:pPr>
            <w:r w:rsidRPr="00B87BBB">
              <w:rPr>
                <w:b/>
                <w:snapToGrid w:val="0"/>
                <w:sz w:val="24"/>
                <w:szCs w:val="24"/>
              </w:rPr>
              <w:t>Nom de la collectivité</w:t>
            </w:r>
          </w:p>
        </w:tc>
        <w:tc>
          <w:tcPr>
            <w:tcW w:w="2603" w:type="dxa"/>
            <w:vAlign w:val="center"/>
          </w:tcPr>
          <w:p w:rsidR="00D90BC1" w:rsidRPr="00B87BBB" w:rsidRDefault="00D90BC1" w:rsidP="003302B8">
            <w:pPr>
              <w:tabs>
                <w:tab w:val="left" w:pos="10224"/>
              </w:tabs>
              <w:jc w:val="center"/>
              <w:rPr>
                <w:b/>
                <w:snapToGrid w:val="0"/>
                <w:sz w:val="24"/>
                <w:szCs w:val="24"/>
              </w:rPr>
            </w:pPr>
            <w:r w:rsidRPr="00B87BBB">
              <w:rPr>
                <w:b/>
                <w:snapToGrid w:val="0"/>
                <w:sz w:val="24"/>
                <w:szCs w:val="24"/>
              </w:rPr>
              <w:t>Représentée par</w:t>
            </w:r>
          </w:p>
        </w:tc>
        <w:tc>
          <w:tcPr>
            <w:tcW w:w="2363" w:type="dxa"/>
          </w:tcPr>
          <w:p w:rsidR="00D90BC1" w:rsidRPr="00B87BBB" w:rsidRDefault="00D90BC1" w:rsidP="003302B8">
            <w:pPr>
              <w:tabs>
                <w:tab w:val="left" w:pos="10224"/>
              </w:tabs>
              <w:jc w:val="center"/>
              <w:rPr>
                <w:b/>
                <w:snapToGrid w:val="0"/>
                <w:sz w:val="24"/>
                <w:szCs w:val="24"/>
              </w:rPr>
            </w:pPr>
            <w:r w:rsidRPr="00B87BBB">
              <w:rPr>
                <w:b/>
                <w:snapToGrid w:val="0"/>
                <w:sz w:val="24"/>
                <w:szCs w:val="24"/>
              </w:rPr>
              <w:t xml:space="preserve">Agissant en vertu de la délibération du </w:t>
            </w:r>
          </w:p>
        </w:tc>
        <w:tc>
          <w:tcPr>
            <w:tcW w:w="1824" w:type="dxa"/>
          </w:tcPr>
          <w:p w:rsidR="00D90BC1" w:rsidRPr="00B87BBB" w:rsidRDefault="00D90BC1" w:rsidP="003302B8">
            <w:pPr>
              <w:tabs>
                <w:tab w:val="left" w:pos="10224"/>
              </w:tabs>
              <w:jc w:val="center"/>
              <w:rPr>
                <w:b/>
                <w:snapToGrid w:val="0"/>
                <w:sz w:val="24"/>
                <w:szCs w:val="24"/>
              </w:rPr>
            </w:pPr>
            <w:r w:rsidRPr="00B87BBB">
              <w:rPr>
                <w:b/>
                <w:snapToGrid w:val="0"/>
                <w:sz w:val="24"/>
                <w:szCs w:val="24"/>
              </w:rPr>
              <w:t>N° de l’accord cadre concernant chaque membre du groupement</w:t>
            </w:r>
          </w:p>
        </w:tc>
      </w:tr>
      <w:tr w:rsidR="00D90BC1" w:rsidRPr="00B87BBB" w:rsidTr="00992B47">
        <w:trPr>
          <w:trHeight w:val="722"/>
        </w:trPr>
        <w:tc>
          <w:tcPr>
            <w:tcW w:w="2839" w:type="dxa"/>
            <w:vAlign w:val="center"/>
          </w:tcPr>
          <w:p w:rsidR="00D90BC1" w:rsidRPr="00B87BBB" w:rsidRDefault="00D90BC1" w:rsidP="00337D13">
            <w:pPr>
              <w:tabs>
                <w:tab w:val="left" w:pos="10224"/>
              </w:tabs>
              <w:jc w:val="center"/>
              <w:rPr>
                <w:snapToGrid w:val="0"/>
                <w:sz w:val="24"/>
                <w:szCs w:val="24"/>
              </w:rPr>
            </w:pPr>
            <w:r w:rsidRPr="00B87BBB">
              <w:rPr>
                <w:snapToGrid w:val="0"/>
                <w:sz w:val="24"/>
                <w:szCs w:val="24"/>
              </w:rPr>
              <w:t>SDE76</w:t>
            </w:r>
          </w:p>
        </w:tc>
        <w:tc>
          <w:tcPr>
            <w:tcW w:w="2603" w:type="dxa"/>
            <w:vAlign w:val="center"/>
          </w:tcPr>
          <w:p w:rsidR="00D90BC1" w:rsidRPr="00B87BBB" w:rsidRDefault="00D90BC1" w:rsidP="00337D13">
            <w:pPr>
              <w:tabs>
                <w:tab w:val="left" w:pos="10224"/>
              </w:tabs>
              <w:jc w:val="center"/>
              <w:rPr>
                <w:snapToGrid w:val="0"/>
                <w:sz w:val="24"/>
                <w:szCs w:val="24"/>
              </w:rPr>
            </w:pPr>
            <w:r w:rsidRPr="00B87BBB">
              <w:rPr>
                <w:snapToGrid w:val="0"/>
                <w:sz w:val="24"/>
                <w:szCs w:val="24"/>
              </w:rPr>
              <w:t>Patrick CHAUVET</w:t>
            </w:r>
          </w:p>
        </w:tc>
        <w:tc>
          <w:tcPr>
            <w:tcW w:w="2363" w:type="dxa"/>
            <w:vAlign w:val="center"/>
          </w:tcPr>
          <w:p w:rsidR="00D90BC1" w:rsidRPr="00B87BBB" w:rsidRDefault="00D90BC1" w:rsidP="00AF2977">
            <w:pPr>
              <w:tabs>
                <w:tab w:val="left" w:pos="10224"/>
              </w:tabs>
              <w:jc w:val="center"/>
              <w:rPr>
                <w:snapToGrid w:val="0"/>
                <w:sz w:val="24"/>
                <w:szCs w:val="24"/>
              </w:rPr>
            </w:pPr>
            <w:r w:rsidRPr="00B87BBB">
              <w:rPr>
                <w:snapToGrid w:val="0"/>
                <w:sz w:val="24"/>
                <w:szCs w:val="24"/>
                <w:highlight w:val="yellow"/>
              </w:rPr>
              <w:t>XX/XX/XXXX</w:t>
            </w:r>
          </w:p>
        </w:tc>
        <w:tc>
          <w:tcPr>
            <w:tcW w:w="1824" w:type="dxa"/>
            <w:vAlign w:val="center"/>
          </w:tcPr>
          <w:p w:rsidR="00D90BC1" w:rsidRPr="00B87BBB" w:rsidRDefault="00D90BC1" w:rsidP="00AF2977">
            <w:pPr>
              <w:tabs>
                <w:tab w:val="left" w:pos="10224"/>
              </w:tabs>
              <w:jc w:val="center"/>
              <w:rPr>
                <w:snapToGrid w:val="0"/>
                <w:sz w:val="24"/>
                <w:szCs w:val="24"/>
                <w:highlight w:val="yellow"/>
              </w:rPr>
            </w:pPr>
            <w:r w:rsidRPr="00B87BBB">
              <w:rPr>
                <w:snapToGrid w:val="0"/>
                <w:sz w:val="24"/>
                <w:szCs w:val="24"/>
                <w:highlight w:val="yellow"/>
              </w:rPr>
              <w:t>*</w:t>
            </w:r>
          </w:p>
        </w:tc>
      </w:tr>
      <w:tr w:rsidR="00D90BC1" w:rsidRPr="00B87BBB" w:rsidTr="00992B47">
        <w:trPr>
          <w:trHeight w:val="722"/>
        </w:trPr>
        <w:tc>
          <w:tcPr>
            <w:tcW w:w="2839" w:type="dxa"/>
            <w:vAlign w:val="center"/>
          </w:tcPr>
          <w:p w:rsidR="00D90BC1" w:rsidRPr="00B87BBB" w:rsidRDefault="00D90BC1" w:rsidP="00B87BBB">
            <w:pPr>
              <w:tabs>
                <w:tab w:val="left" w:pos="10224"/>
              </w:tabs>
              <w:jc w:val="center"/>
              <w:rPr>
                <w:i/>
                <w:snapToGrid w:val="0"/>
                <w:sz w:val="24"/>
                <w:szCs w:val="24"/>
                <w:highlight w:val="yellow"/>
              </w:rPr>
            </w:pPr>
            <w:r w:rsidRPr="00B87BBB">
              <w:rPr>
                <w:i/>
                <w:snapToGrid w:val="0"/>
                <w:sz w:val="24"/>
                <w:szCs w:val="24"/>
                <w:highlight w:val="yellow"/>
              </w:rPr>
              <w:t>Le tableau sera complété par le SDE76 une fois les adhérents</w:t>
            </w:r>
            <w:r w:rsidR="00B87BBB" w:rsidRPr="00B87BBB">
              <w:rPr>
                <w:i/>
                <w:snapToGrid w:val="0"/>
                <w:sz w:val="24"/>
                <w:szCs w:val="24"/>
                <w:highlight w:val="yellow"/>
              </w:rPr>
              <w:t xml:space="preserve"> connus</w:t>
            </w:r>
          </w:p>
        </w:tc>
        <w:tc>
          <w:tcPr>
            <w:tcW w:w="2603" w:type="dxa"/>
            <w:vAlign w:val="center"/>
          </w:tcPr>
          <w:p w:rsidR="00D90BC1" w:rsidRPr="00B87BBB" w:rsidRDefault="00D90BC1" w:rsidP="00337D13">
            <w:pPr>
              <w:tabs>
                <w:tab w:val="left" w:pos="10224"/>
              </w:tabs>
              <w:jc w:val="center"/>
              <w:rPr>
                <w:i/>
                <w:snapToGrid w:val="0"/>
                <w:sz w:val="24"/>
                <w:szCs w:val="24"/>
                <w:highlight w:val="yellow"/>
              </w:rPr>
            </w:pPr>
          </w:p>
        </w:tc>
        <w:tc>
          <w:tcPr>
            <w:tcW w:w="2363" w:type="dxa"/>
            <w:vAlign w:val="center"/>
          </w:tcPr>
          <w:p w:rsidR="00D90BC1" w:rsidRPr="00B87BBB" w:rsidRDefault="00D90BC1" w:rsidP="002D5F3B">
            <w:pPr>
              <w:tabs>
                <w:tab w:val="left" w:pos="10224"/>
              </w:tabs>
              <w:jc w:val="center"/>
              <w:rPr>
                <w:i/>
                <w:snapToGrid w:val="0"/>
                <w:sz w:val="24"/>
                <w:szCs w:val="24"/>
              </w:rPr>
            </w:pPr>
          </w:p>
        </w:tc>
        <w:tc>
          <w:tcPr>
            <w:tcW w:w="1824" w:type="dxa"/>
            <w:vAlign w:val="center"/>
          </w:tcPr>
          <w:p w:rsidR="00D90BC1" w:rsidRPr="00B87BBB" w:rsidRDefault="00D90BC1" w:rsidP="002D5F3B">
            <w:pPr>
              <w:tabs>
                <w:tab w:val="left" w:pos="10224"/>
              </w:tabs>
              <w:jc w:val="center"/>
              <w:rPr>
                <w:i/>
                <w:snapToGrid w:val="0"/>
                <w:sz w:val="24"/>
                <w:szCs w:val="24"/>
              </w:rPr>
            </w:pPr>
          </w:p>
        </w:tc>
      </w:tr>
    </w:tbl>
    <w:p w:rsidR="00355237" w:rsidRPr="00B87BBB" w:rsidRDefault="00355237" w:rsidP="00FD65F1">
      <w:pPr>
        <w:tabs>
          <w:tab w:val="left" w:pos="10224"/>
        </w:tabs>
        <w:jc w:val="center"/>
        <w:rPr>
          <w:sz w:val="24"/>
          <w:szCs w:val="24"/>
        </w:rPr>
      </w:pPr>
    </w:p>
    <w:p w:rsidR="00FD65F1" w:rsidRPr="00B87BBB" w:rsidRDefault="00B87BBB" w:rsidP="00FD65F1">
      <w:pPr>
        <w:tabs>
          <w:tab w:val="left" w:pos="10224"/>
        </w:tabs>
        <w:jc w:val="center"/>
        <w:rPr>
          <w:b/>
          <w:snapToGrid w:val="0"/>
          <w:sz w:val="32"/>
          <w:szCs w:val="32"/>
        </w:rPr>
      </w:pPr>
      <w:r w:rsidRPr="00B87BBB">
        <w:rPr>
          <w:i/>
          <w:sz w:val="20"/>
          <w:szCs w:val="20"/>
        </w:rPr>
        <w:t xml:space="preserve">* </w:t>
      </w:r>
      <w:r w:rsidR="00D90BC1" w:rsidRPr="00B87BBB">
        <w:rPr>
          <w:i/>
          <w:sz w:val="20"/>
          <w:szCs w:val="20"/>
        </w:rPr>
        <w:t>Le numéro de l’accord cadre qui intervient pour les achats d’énergie de chaque mem</w:t>
      </w:r>
      <w:r w:rsidR="00CB3296" w:rsidRPr="00B87BBB">
        <w:rPr>
          <w:i/>
          <w:sz w:val="20"/>
          <w:szCs w:val="20"/>
        </w:rPr>
        <w:t>b</w:t>
      </w:r>
      <w:r w:rsidR="00D90BC1" w:rsidRPr="00B87BBB">
        <w:rPr>
          <w:i/>
          <w:sz w:val="20"/>
          <w:szCs w:val="20"/>
        </w:rPr>
        <w:t>re du groupement sera indiqué au moment de chaque avis de publication de mise en concurrence correspondant</w:t>
      </w:r>
      <w:r w:rsidR="00DF1302" w:rsidRPr="00B87BBB">
        <w:rPr>
          <w:b/>
          <w:snapToGrid w:val="0"/>
          <w:sz w:val="32"/>
          <w:szCs w:val="32"/>
        </w:rPr>
        <w:br w:type="page"/>
      </w:r>
      <w:r w:rsidR="00FD65F1" w:rsidRPr="00B87BBB">
        <w:rPr>
          <w:b/>
          <w:snapToGrid w:val="0"/>
          <w:sz w:val="32"/>
          <w:szCs w:val="32"/>
        </w:rPr>
        <w:lastRenderedPageBreak/>
        <w:t>PREAMBULE</w:t>
      </w:r>
    </w:p>
    <w:p w:rsidR="00FD65F1" w:rsidRPr="00B87BBB" w:rsidRDefault="00FD65F1" w:rsidP="00FD65F1">
      <w:pPr>
        <w:tabs>
          <w:tab w:val="left" w:pos="10224"/>
        </w:tabs>
        <w:rPr>
          <w:snapToGrid w:val="0"/>
          <w:sz w:val="24"/>
          <w:szCs w:val="24"/>
        </w:rPr>
      </w:pPr>
    </w:p>
    <w:p w:rsidR="00AF2977" w:rsidRPr="00B87BBB" w:rsidRDefault="00AF2977" w:rsidP="00510C9A">
      <w:pPr>
        <w:tabs>
          <w:tab w:val="left" w:pos="1134"/>
        </w:tabs>
        <w:spacing w:before="120" w:after="120"/>
        <w:jc w:val="both"/>
        <w:rPr>
          <w:snapToGrid w:val="0"/>
          <w:sz w:val="24"/>
          <w:szCs w:val="24"/>
        </w:rPr>
      </w:pPr>
      <w:r w:rsidRPr="00B87BBB">
        <w:rPr>
          <w:snapToGrid w:val="0"/>
          <w:sz w:val="24"/>
          <w:szCs w:val="24"/>
        </w:rPr>
        <w:t>Conformément aux dispositions des articles L331-1 et L441-1 du Code de l’énergie, les consommateurs d’électricité et de gaz peuvent choisir leur fournisseur d’électricité et de gaz.</w:t>
      </w:r>
    </w:p>
    <w:p w:rsidR="00AF2977" w:rsidRPr="00B87BBB" w:rsidRDefault="00FD65F1" w:rsidP="00510C9A">
      <w:pPr>
        <w:tabs>
          <w:tab w:val="left" w:pos="1134"/>
        </w:tabs>
        <w:spacing w:before="120" w:after="120"/>
        <w:jc w:val="both"/>
        <w:rPr>
          <w:snapToGrid w:val="0"/>
          <w:sz w:val="24"/>
          <w:szCs w:val="24"/>
        </w:rPr>
      </w:pPr>
      <w:r w:rsidRPr="00B87BBB">
        <w:rPr>
          <w:snapToGrid w:val="0"/>
          <w:sz w:val="24"/>
          <w:szCs w:val="24"/>
        </w:rPr>
        <w:t>Depuis le 1</w:t>
      </w:r>
      <w:r w:rsidRPr="00B87BBB">
        <w:rPr>
          <w:snapToGrid w:val="0"/>
          <w:sz w:val="24"/>
          <w:szCs w:val="24"/>
          <w:vertAlign w:val="superscript"/>
        </w:rPr>
        <w:t>er</w:t>
      </w:r>
      <w:r w:rsidRPr="00B87BBB">
        <w:rPr>
          <w:snapToGrid w:val="0"/>
          <w:sz w:val="24"/>
          <w:szCs w:val="24"/>
        </w:rPr>
        <w:t xml:space="preserve"> juillet 2004, le marché de l’énerg</w:t>
      </w:r>
      <w:r w:rsidR="00AF2977" w:rsidRPr="00B87BBB">
        <w:rPr>
          <w:snapToGrid w:val="0"/>
          <w:sz w:val="24"/>
          <w:szCs w:val="24"/>
        </w:rPr>
        <w:t>ie est ouvert à la concurrence et les tarifs réglementés de vente d’électricité et de gaz sont progressivement supprimés.</w:t>
      </w:r>
    </w:p>
    <w:p w:rsidR="00FD65F1" w:rsidRPr="00B87BBB" w:rsidRDefault="00FD65F1" w:rsidP="00510C9A">
      <w:pPr>
        <w:tabs>
          <w:tab w:val="left" w:pos="1134"/>
        </w:tabs>
        <w:spacing w:before="120" w:after="120"/>
        <w:jc w:val="both"/>
        <w:rPr>
          <w:snapToGrid w:val="0"/>
          <w:sz w:val="24"/>
          <w:szCs w:val="24"/>
        </w:rPr>
      </w:pPr>
      <w:r w:rsidRPr="00B87BBB">
        <w:rPr>
          <w:snapToGrid w:val="0"/>
          <w:sz w:val="24"/>
          <w:szCs w:val="24"/>
        </w:rPr>
        <w:t xml:space="preserve">Pour mettre en œuvre cette possibilité, les acheteurs publics doivent alors conclure de nouveaux contrats de fourniture d’énergie dans le respect des règles de la commande publique. </w:t>
      </w:r>
    </w:p>
    <w:p w:rsidR="00AF2977" w:rsidRPr="00B87BBB" w:rsidRDefault="00AF2977" w:rsidP="00510C9A">
      <w:pPr>
        <w:tabs>
          <w:tab w:val="left" w:pos="1134"/>
        </w:tabs>
        <w:spacing w:before="120" w:after="120"/>
        <w:jc w:val="both"/>
        <w:rPr>
          <w:snapToGrid w:val="0"/>
          <w:sz w:val="24"/>
          <w:szCs w:val="24"/>
        </w:rPr>
      </w:pPr>
      <w:r w:rsidRPr="00B87BBB">
        <w:rPr>
          <w:snapToGrid w:val="0"/>
          <w:sz w:val="24"/>
          <w:szCs w:val="24"/>
        </w:rPr>
        <w:t>Pour leurs besoins propres, les acheteurs doivent recourir aux procédures prévues par le décret n°2016-360 du 25 mars 2016 relatif aux marchés publics, afin de sélectionner leurs prestataires, comme le prévoient les articles L331-4 et L441-5 du Code de l’énergie, ainsi que l’</w:t>
      </w:r>
      <w:r w:rsidR="00510C9A" w:rsidRPr="00B87BBB">
        <w:rPr>
          <w:snapToGrid w:val="0"/>
          <w:sz w:val="24"/>
          <w:szCs w:val="24"/>
        </w:rPr>
        <w:t>article 28 de l’</w:t>
      </w:r>
      <w:r w:rsidRPr="00B87BBB">
        <w:rPr>
          <w:snapToGrid w:val="0"/>
          <w:sz w:val="24"/>
          <w:szCs w:val="24"/>
        </w:rPr>
        <w:t>ordonnance n°2015-899 du 23 juillet 2015 relative aux marchés publics.</w:t>
      </w:r>
    </w:p>
    <w:p w:rsidR="002F367B" w:rsidRPr="00B87BBB" w:rsidRDefault="00FD65F1" w:rsidP="00510C9A">
      <w:pPr>
        <w:tabs>
          <w:tab w:val="left" w:pos="1134"/>
        </w:tabs>
        <w:spacing w:before="120" w:after="120"/>
        <w:jc w:val="both"/>
        <w:rPr>
          <w:snapToGrid w:val="0"/>
          <w:sz w:val="24"/>
          <w:szCs w:val="24"/>
        </w:rPr>
      </w:pPr>
      <w:r w:rsidRPr="00B87BBB">
        <w:rPr>
          <w:snapToGrid w:val="0"/>
          <w:sz w:val="24"/>
          <w:szCs w:val="24"/>
        </w:rPr>
        <w:t xml:space="preserve">Pour </w:t>
      </w:r>
      <w:r w:rsidR="002F367B" w:rsidRPr="00B87BBB">
        <w:rPr>
          <w:snapToGrid w:val="0"/>
          <w:sz w:val="24"/>
          <w:szCs w:val="24"/>
        </w:rPr>
        <w:t>y parvenir</w:t>
      </w:r>
      <w:r w:rsidRPr="00B87BBB">
        <w:rPr>
          <w:snapToGrid w:val="0"/>
          <w:sz w:val="24"/>
          <w:szCs w:val="24"/>
        </w:rPr>
        <w:t>, le SDE76 a constitué un groupement de commandes d’achat d’</w:t>
      </w:r>
      <w:r w:rsidR="00F077B1" w:rsidRPr="00B87BBB">
        <w:rPr>
          <w:snapToGrid w:val="0"/>
          <w:sz w:val="24"/>
          <w:szCs w:val="24"/>
        </w:rPr>
        <w:t>énergie</w:t>
      </w:r>
      <w:r w:rsidRPr="00B87BBB">
        <w:rPr>
          <w:snapToGrid w:val="0"/>
          <w:sz w:val="24"/>
          <w:szCs w:val="24"/>
        </w:rPr>
        <w:t xml:space="preserve"> et services associés, afin de permettre aux acheteurs publics d’acheter leur énergie </w:t>
      </w:r>
      <w:r w:rsidR="002F367B" w:rsidRPr="00B87BBB">
        <w:rPr>
          <w:snapToGrid w:val="0"/>
          <w:sz w:val="24"/>
          <w:szCs w:val="24"/>
        </w:rPr>
        <w:t>dans les meilleures conditions</w:t>
      </w:r>
      <w:r w:rsidRPr="00B87BBB">
        <w:rPr>
          <w:snapToGrid w:val="0"/>
          <w:sz w:val="24"/>
          <w:szCs w:val="24"/>
        </w:rPr>
        <w:t xml:space="preserve"> par la massification de la commande tout en </w:t>
      </w:r>
      <w:r w:rsidR="002F367B" w:rsidRPr="00B87BBB">
        <w:rPr>
          <w:snapToGrid w:val="0"/>
          <w:sz w:val="24"/>
          <w:szCs w:val="24"/>
        </w:rPr>
        <w:t>mutualisant</w:t>
      </w:r>
      <w:r w:rsidRPr="00B87BBB">
        <w:rPr>
          <w:snapToGrid w:val="0"/>
          <w:sz w:val="24"/>
          <w:szCs w:val="24"/>
        </w:rPr>
        <w:t xml:space="preserve"> la procédure de mise en concurrence. </w:t>
      </w:r>
    </w:p>
    <w:p w:rsidR="00FD65F1" w:rsidRPr="00B87BBB" w:rsidRDefault="00FD65F1" w:rsidP="00510C9A">
      <w:pPr>
        <w:tabs>
          <w:tab w:val="left" w:pos="1134"/>
        </w:tabs>
        <w:spacing w:before="120" w:after="120"/>
        <w:jc w:val="both"/>
        <w:rPr>
          <w:snapToGrid w:val="0"/>
          <w:sz w:val="24"/>
          <w:szCs w:val="24"/>
        </w:rPr>
      </w:pPr>
      <w:r w:rsidRPr="00B87BBB">
        <w:rPr>
          <w:snapToGrid w:val="0"/>
          <w:sz w:val="24"/>
          <w:szCs w:val="24"/>
        </w:rPr>
        <w:t xml:space="preserve">En effet, le regroupement de ces pouvoirs adjudicateurs et entités adjudicatrices, acheteuses de fourniture d’électricité </w:t>
      </w:r>
      <w:r w:rsidR="002F367B" w:rsidRPr="00B87BBB">
        <w:rPr>
          <w:snapToGrid w:val="0"/>
          <w:sz w:val="24"/>
          <w:szCs w:val="24"/>
        </w:rPr>
        <w:t xml:space="preserve">et de gaz, </w:t>
      </w:r>
      <w:r w:rsidRPr="00B87BBB">
        <w:rPr>
          <w:snapToGrid w:val="0"/>
          <w:sz w:val="24"/>
          <w:szCs w:val="24"/>
        </w:rPr>
        <w:t xml:space="preserve">et de services associés est un outil qui, non seulement, leur permet d’effectuer plus efficacement les opérations de mise en concurrence mais, également, par la mutualisation </w:t>
      </w:r>
      <w:r w:rsidR="002F367B" w:rsidRPr="00B87BBB">
        <w:rPr>
          <w:snapToGrid w:val="0"/>
          <w:sz w:val="24"/>
          <w:szCs w:val="24"/>
        </w:rPr>
        <w:t>des procédures p</w:t>
      </w:r>
      <w:r w:rsidR="00FC67AF" w:rsidRPr="00B87BBB">
        <w:rPr>
          <w:snapToGrid w:val="0"/>
          <w:sz w:val="24"/>
          <w:szCs w:val="24"/>
        </w:rPr>
        <w:t>ermet</w:t>
      </w:r>
      <w:r w:rsidRPr="00B87BBB">
        <w:rPr>
          <w:snapToGrid w:val="0"/>
          <w:sz w:val="24"/>
          <w:szCs w:val="24"/>
        </w:rPr>
        <w:t xml:space="preserve"> </w:t>
      </w:r>
      <w:r w:rsidR="002F367B" w:rsidRPr="00B87BBB">
        <w:rPr>
          <w:snapToGrid w:val="0"/>
          <w:sz w:val="24"/>
          <w:szCs w:val="24"/>
        </w:rPr>
        <w:t>l’achat de la fourniture d’énergie dans les meilleures conditions.</w:t>
      </w:r>
    </w:p>
    <w:p w:rsidR="00FD65F1" w:rsidRPr="00B87BBB" w:rsidRDefault="00FD65F1" w:rsidP="00FD65F1">
      <w:pPr>
        <w:tabs>
          <w:tab w:val="left" w:pos="10224"/>
        </w:tabs>
        <w:rPr>
          <w:snapToGrid w:val="0"/>
          <w:sz w:val="24"/>
          <w:szCs w:val="24"/>
        </w:rPr>
      </w:pPr>
    </w:p>
    <w:p w:rsidR="00FD65F1" w:rsidRPr="00B87BBB" w:rsidRDefault="00FD65F1" w:rsidP="00FD65F1">
      <w:pPr>
        <w:tabs>
          <w:tab w:val="left" w:pos="10224"/>
        </w:tabs>
        <w:rPr>
          <w:snapToGrid w:val="0"/>
          <w:sz w:val="24"/>
          <w:szCs w:val="24"/>
        </w:rPr>
      </w:pPr>
    </w:p>
    <w:p w:rsidR="00FD65F1" w:rsidRPr="00B87BBB" w:rsidRDefault="00FD65F1" w:rsidP="00FD65F1">
      <w:pPr>
        <w:tabs>
          <w:tab w:val="left" w:pos="10224"/>
        </w:tabs>
        <w:rPr>
          <w:b/>
          <w:snapToGrid w:val="0"/>
          <w:sz w:val="24"/>
          <w:szCs w:val="24"/>
          <w:u w:val="single"/>
        </w:rPr>
      </w:pPr>
      <w:r w:rsidRPr="00B87BBB">
        <w:rPr>
          <w:b/>
          <w:snapToGrid w:val="0"/>
          <w:sz w:val="24"/>
          <w:szCs w:val="24"/>
          <w:u w:val="single"/>
        </w:rPr>
        <w:t>ARTICLE 1</w:t>
      </w:r>
      <w:r w:rsidRPr="00B87BBB">
        <w:rPr>
          <w:b/>
          <w:snapToGrid w:val="0"/>
          <w:sz w:val="24"/>
          <w:szCs w:val="24"/>
        </w:rPr>
        <w:t xml:space="preserve"> –  </w:t>
      </w:r>
      <w:r w:rsidRPr="00B87BBB">
        <w:rPr>
          <w:b/>
          <w:snapToGrid w:val="0"/>
          <w:sz w:val="24"/>
          <w:szCs w:val="24"/>
          <w:u w:val="single"/>
        </w:rPr>
        <w:t>OBJET DE LA CONVENTION</w:t>
      </w: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jc w:val="both"/>
        <w:rPr>
          <w:snapToGrid w:val="0"/>
          <w:sz w:val="24"/>
          <w:szCs w:val="24"/>
        </w:rPr>
      </w:pPr>
    </w:p>
    <w:p w:rsidR="00FD65F1" w:rsidRPr="00B87BBB" w:rsidRDefault="00FD65F1" w:rsidP="003A096B">
      <w:pPr>
        <w:tabs>
          <w:tab w:val="left" w:pos="1134"/>
        </w:tabs>
        <w:spacing w:after="120"/>
        <w:jc w:val="both"/>
        <w:rPr>
          <w:rFonts w:eastAsia="Arial"/>
          <w:sz w:val="24"/>
          <w:szCs w:val="24"/>
        </w:rPr>
      </w:pPr>
      <w:r w:rsidRPr="00B87BBB">
        <w:rPr>
          <w:snapToGrid w:val="0"/>
          <w:sz w:val="24"/>
          <w:szCs w:val="24"/>
        </w:rPr>
        <w:t>La présente convention</w:t>
      </w:r>
      <w:r w:rsidR="00F077B1" w:rsidRPr="00B87BBB">
        <w:rPr>
          <w:snapToGrid w:val="0"/>
          <w:sz w:val="24"/>
          <w:szCs w:val="24"/>
        </w:rPr>
        <w:t xml:space="preserve"> a pour objet de constituer </w:t>
      </w:r>
      <w:r w:rsidRPr="00B87BBB">
        <w:rPr>
          <w:snapToGrid w:val="0"/>
          <w:sz w:val="24"/>
          <w:szCs w:val="24"/>
        </w:rPr>
        <w:t>un groupement de commandes entre les personnes publiques visées supra en vue de la passation de </w:t>
      </w:r>
      <w:r w:rsidRPr="00B87BBB">
        <w:rPr>
          <w:rFonts w:eastAsia="Arial"/>
          <w:sz w:val="24"/>
          <w:szCs w:val="24"/>
        </w:rPr>
        <w:t>marchés de fourniture d’é</w:t>
      </w:r>
      <w:r w:rsidR="00F077B1" w:rsidRPr="00B87BBB">
        <w:rPr>
          <w:rFonts w:eastAsia="Arial"/>
          <w:sz w:val="24"/>
          <w:szCs w:val="24"/>
        </w:rPr>
        <w:t>nergie</w:t>
      </w:r>
      <w:r w:rsidRPr="00B87BBB">
        <w:rPr>
          <w:rFonts w:eastAsia="Arial"/>
          <w:sz w:val="24"/>
          <w:szCs w:val="24"/>
        </w:rPr>
        <w:t xml:space="preserve"> et des services associés pour les besoins propres de ses membres</w:t>
      </w:r>
      <w:r w:rsidR="003A096B" w:rsidRPr="00B87BBB">
        <w:rPr>
          <w:rFonts w:eastAsia="Arial"/>
          <w:sz w:val="24"/>
          <w:szCs w:val="24"/>
        </w:rPr>
        <w:t xml:space="preserve">, concernant </w:t>
      </w:r>
      <w:r w:rsidRPr="00B87BBB">
        <w:rPr>
          <w:rFonts w:eastAsia="Arial"/>
          <w:sz w:val="24"/>
          <w:szCs w:val="24"/>
        </w:rPr>
        <w:t>:</w:t>
      </w:r>
    </w:p>
    <w:p w:rsidR="00FD65F1" w:rsidRPr="00B87BBB" w:rsidRDefault="003A096B" w:rsidP="003A096B">
      <w:pPr>
        <w:tabs>
          <w:tab w:val="left" w:pos="10224"/>
        </w:tabs>
        <w:spacing w:after="120"/>
        <w:jc w:val="both"/>
        <w:rPr>
          <w:snapToGrid w:val="0"/>
          <w:sz w:val="24"/>
          <w:szCs w:val="24"/>
        </w:rPr>
      </w:pPr>
      <w:r w:rsidRPr="00B87BBB">
        <w:rPr>
          <w:rFonts w:eastAsia="Arial"/>
          <w:sz w:val="24"/>
          <w:szCs w:val="24"/>
        </w:rPr>
        <w:t>La f</w:t>
      </w:r>
      <w:r w:rsidR="00FD65F1" w:rsidRPr="00B87BBB">
        <w:rPr>
          <w:rFonts w:eastAsia="Arial"/>
          <w:sz w:val="24"/>
          <w:szCs w:val="24"/>
        </w:rPr>
        <w:t xml:space="preserve">ourniture et </w:t>
      </w:r>
      <w:r w:rsidRPr="00B87BBB">
        <w:rPr>
          <w:rFonts w:eastAsia="Arial"/>
          <w:sz w:val="24"/>
          <w:szCs w:val="24"/>
        </w:rPr>
        <w:t>l’</w:t>
      </w:r>
      <w:r w:rsidR="00FD65F1" w:rsidRPr="00B87BBB">
        <w:rPr>
          <w:rFonts w:eastAsia="Arial"/>
          <w:sz w:val="24"/>
          <w:szCs w:val="24"/>
        </w:rPr>
        <w:t xml:space="preserve">acheminement d’électricité </w:t>
      </w:r>
      <w:r w:rsidR="00F077B1" w:rsidRPr="00B87BBB">
        <w:rPr>
          <w:rFonts w:eastAsia="Arial"/>
          <w:sz w:val="24"/>
          <w:szCs w:val="24"/>
        </w:rPr>
        <w:t xml:space="preserve">et ou de gaz </w:t>
      </w:r>
      <w:r w:rsidR="00FD65F1" w:rsidRPr="00B87BBB">
        <w:rPr>
          <w:rFonts w:eastAsia="Arial"/>
          <w:sz w:val="24"/>
          <w:szCs w:val="24"/>
        </w:rPr>
        <w:t xml:space="preserve">pour </w:t>
      </w:r>
      <w:r w:rsidR="00510C9A" w:rsidRPr="00B87BBB">
        <w:rPr>
          <w:rFonts w:eastAsia="Arial"/>
          <w:sz w:val="24"/>
          <w:szCs w:val="24"/>
        </w:rPr>
        <w:t>tous les besoins associés aux personnes morales de droit public et privé évoquées (</w:t>
      </w:r>
      <w:r w:rsidR="00FD65F1" w:rsidRPr="00B87BBB">
        <w:rPr>
          <w:rFonts w:eastAsia="Arial"/>
          <w:sz w:val="24"/>
          <w:szCs w:val="24"/>
        </w:rPr>
        <w:t>bâtiments, installations d’éclairage public, feux tricolores, bornes de recharge</w:t>
      </w:r>
      <w:r w:rsidR="00510C9A" w:rsidRPr="00B87BBB">
        <w:rPr>
          <w:rFonts w:eastAsia="Arial"/>
          <w:sz w:val="24"/>
          <w:szCs w:val="24"/>
        </w:rPr>
        <w:t xml:space="preserve"> pour véhicules électriques, </w:t>
      </w:r>
      <w:r w:rsidR="00FD65F1" w:rsidRPr="00B87BBB">
        <w:rPr>
          <w:rFonts w:eastAsia="Arial"/>
          <w:sz w:val="24"/>
          <w:szCs w:val="24"/>
        </w:rPr>
        <w:t>bornes marché et foraines</w:t>
      </w:r>
      <w:r w:rsidR="00510C9A" w:rsidRPr="00B87BBB">
        <w:rPr>
          <w:rFonts w:eastAsia="Arial"/>
          <w:sz w:val="24"/>
          <w:szCs w:val="24"/>
        </w:rPr>
        <w:t>, mobiliers urbains et tout autre équipement de toute nature</w:t>
      </w:r>
      <w:r w:rsidR="0002258B" w:rsidRPr="00B87BBB">
        <w:rPr>
          <w:rFonts w:eastAsia="Arial"/>
          <w:sz w:val="24"/>
          <w:szCs w:val="24"/>
        </w:rPr>
        <w:t>,</w:t>
      </w:r>
      <w:r w:rsidR="00D90BC1" w:rsidRPr="00B87BBB">
        <w:rPr>
          <w:rFonts w:eastAsia="Arial"/>
          <w:sz w:val="24"/>
          <w:szCs w:val="24"/>
        </w:rPr>
        <w:t xml:space="preserve"> ainsi que les branchements provisoires de toute nature</w:t>
      </w:r>
      <w:r w:rsidR="00510C9A" w:rsidRPr="00B87BBB">
        <w:rPr>
          <w:rFonts w:eastAsia="Arial"/>
          <w:sz w:val="24"/>
          <w:szCs w:val="24"/>
        </w:rPr>
        <w:t>)</w:t>
      </w:r>
      <w:r w:rsidR="00FD65F1" w:rsidRPr="00B87BBB">
        <w:rPr>
          <w:snapToGrid w:val="0"/>
          <w:sz w:val="24"/>
          <w:szCs w:val="24"/>
        </w:rPr>
        <w:t>.</w:t>
      </w:r>
    </w:p>
    <w:p w:rsidR="00D90BC1" w:rsidRPr="00B87BBB" w:rsidRDefault="00D90BC1" w:rsidP="003A096B">
      <w:pPr>
        <w:tabs>
          <w:tab w:val="left" w:pos="10224"/>
        </w:tabs>
        <w:spacing w:after="120"/>
        <w:jc w:val="both"/>
        <w:rPr>
          <w:snapToGrid w:val="0"/>
          <w:sz w:val="24"/>
          <w:szCs w:val="24"/>
        </w:rPr>
      </w:pPr>
      <w:r w:rsidRPr="00B87BBB">
        <w:rPr>
          <w:snapToGrid w:val="0"/>
          <w:sz w:val="24"/>
          <w:szCs w:val="24"/>
        </w:rPr>
        <w:t xml:space="preserve">Il est rappelé que chaque membre du groupement est libre de décider de conserver le bénéfice du tarif réglementé pour les sites qui y sont </w:t>
      </w:r>
      <w:r w:rsidR="00F234B3" w:rsidRPr="00B87BBB">
        <w:rPr>
          <w:snapToGrid w:val="0"/>
          <w:sz w:val="24"/>
          <w:szCs w:val="24"/>
        </w:rPr>
        <w:t>éligibles</w:t>
      </w:r>
      <w:r w:rsidRPr="00B87BBB">
        <w:rPr>
          <w:snapToGrid w:val="0"/>
          <w:sz w:val="24"/>
          <w:szCs w:val="24"/>
        </w:rPr>
        <w:t xml:space="preserve"> et de les y maintenir, ou de les basculer en offre de marché.</w:t>
      </w:r>
    </w:p>
    <w:p w:rsidR="003A096B" w:rsidRPr="00B87BBB" w:rsidRDefault="003A096B" w:rsidP="003A096B">
      <w:pPr>
        <w:tabs>
          <w:tab w:val="left" w:pos="1134"/>
        </w:tabs>
        <w:spacing w:after="120"/>
        <w:jc w:val="both"/>
        <w:rPr>
          <w:rFonts w:eastAsia="Arial"/>
          <w:sz w:val="24"/>
          <w:szCs w:val="24"/>
        </w:rPr>
      </w:pPr>
      <w:r w:rsidRPr="00B87BBB">
        <w:rPr>
          <w:rFonts w:eastAsia="Arial"/>
          <w:sz w:val="24"/>
          <w:szCs w:val="24"/>
        </w:rPr>
        <w:t xml:space="preserve">Les contrats conclus pour répondre à ces besoins pourront constituer des marchés publics ou des accords-cadres au sens de l’article 4 de </w:t>
      </w:r>
      <w:r w:rsidRPr="00B87BBB">
        <w:rPr>
          <w:snapToGrid w:val="0"/>
          <w:sz w:val="24"/>
          <w:szCs w:val="24"/>
        </w:rPr>
        <w:t>l’ordonnance n°2015-899 du 23 juillet 2015 relative aux marchés publics.</w:t>
      </w:r>
    </w:p>
    <w:p w:rsidR="00FD65F1" w:rsidRPr="00B87BBB" w:rsidRDefault="00FD65F1" w:rsidP="003A096B">
      <w:pPr>
        <w:tabs>
          <w:tab w:val="left" w:pos="1134"/>
        </w:tabs>
        <w:spacing w:after="120"/>
        <w:jc w:val="both"/>
        <w:rPr>
          <w:sz w:val="24"/>
          <w:szCs w:val="24"/>
        </w:rPr>
      </w:pPr>
      <w:r w:rsidRPr="00B87BBB">
        <w:rPr>
          <w:rFonts w:eastAsia="Arial"/>
          <w:sz w:val="24"/>
          <w:szCs w:val="24"/>
        </w:rPr>
        <w:t>Il est expressément rappelé que le groupement n’a pas la personnalité morale.</w:t>
      </w:r>
    </w:p>
    <w:p w:rsidR="00FD65F1" w:rsidRPr="00B87BBB" w:rsidRDefault="00FD65F1" w:rsidP="00FD65F1">
      <w:pPr>
        <w:tabs>
          <w:tab w:val="left" w:pos="1134"/>
        </w:tabs>
        <w:jc w:val="both"/>
        <w:rPr>
          <w:snapToGrid w:val="0"/>
          <w:sz w:val="24"/>
          <w:szCs w:val="24"/>
        </w:rPr>
      </w:pPr>
    </w:p>
    <w:p w:rsidR="00FD65F1" w:rsidRPr="00B87BBB" w:rsidRDefault="00FD65F1" w:rsidP="00FD65F1">
      <w:pPr>
        <w:tabs>
          <w:tab w:val="left" w:pos="1134"/>
        </w:tabs>
        <w:jc w:val="both"/>
        <w:rPr>
          <w:snapToGrid w:val="0"/>
          <w:sz w:val="24"/>
          <w:szCs w:val="24"/>
        </w:rPr>
      </w:pPr>
    </w:p>
    <w:p w:rsidR="00FD65F1" w:rsidRPr="00B87BBB" w:rsidRDefault="00FD65F1" w:rsidP="00FD65F1">
      <w:pPr>
        <w:tabs>
          <w:tab w:val="left" w:pos="10224"/>
        </w:tabs>
        <w:rPr>
          <w:b/>
          <w:snapToGrid w:val="0"/>
          <w:sz w:val="24"/>
          <w:szCs w:val="24"/>
          <w:u w:val="single"/>
        </w:rPr>
      </w:pPr>
      <w:r w:rsidRPr="00B87BBB">
        <w:rPr>
          <w:b/>
          <w:snapToGrid w:val="0"/>
          <w:sz w:val="24"/>
          <w:szCs w:val="24"/>
          <w:u w:val="single"/>
        </w:rPr>
        <w:t>ARTICLE 2</w:t>
      </w:r>
      <w:r w:rsidRPr="00B87BBB">
        <w:rPr>
          <w:b/>
          <w:snapToGrid w:val="0"/>
          <w:sz w:val="24"/>
          <w:szCs w:val="24"/>
        </w:rPr>
        <w:t xml:space="preserve"> –  </w:t>
      </w:r>
      <w:r w:rsidRPr="00B87BBB">
        <w:rPr>
          <w:b/>
          <w:snapToGrid w:val="0"/>
          <w:sz w:val="24"/>
          <w:szCs w:val="24"/>
          <w:u w:val="single"/>
        </w:rPr>
        <w:t>COMPOSITION DU GROUPEMENT</w:t>
      </w:r>
    </w:p>
    <w:p w:rsidR="00FD65F1" w:rsidRPr="00B87BBB" w:rsidRDefault="00FD65F1" w:rsidP="00FD65F1">
      <w:pPr>
        <w:tabs>
          <w:tab w:val="left" w:pos="10224"/>
        </w:tabs>
        <w:rPr>
          <w:b/>
          <w:snapToGrid w:val="0"/>
          <w:sz w:val="24"/>
          <w:szCs w:val="24"/>
        </w:rPr>
      </w:pPr>
    </w:p>
    <w:p w:rsidR="00FD65F1" w:rsidRPr="00B87BBB" w:rsidRDefault="00FD65F1" w:rsidP="00FD65F1">
      <w:pPr>
        <w:contextualSpacing/>
        <w:jc w:val="both"/>
        <w:rPr>
          <w:rFonts w:eastAsia="Arial"/>
          <w:sz w:val="24"/>
          <w:szCs w:val="24"/>
        </w:rPr>
      </w:pPr>
      <w:r w:rsidRPr="00B87BBB">
        <w:rPr>
          <w:rFonts w:eastAsia="Arial"/>
          <w:sz w:val="24"/>
          <w:szCs w:val="24"/>
        </w:rPr>
        <w:t>Le groupement est ouvert aux personnes morales de droit public (collectivités territoriales et leurs groupements, établissement</w:t>
      </w:r>
      <w:r w:rsidR="0002258B" w:rsidRPr="00B87BBB">
        <w:rPr>
          <w:rFonts w:eastAsia="Arial"/>
          <w:sz w:val="24"/>
          <w:szCs w:val="24"/>
        </w:rPr>
        <w:t>s</w:t>
      </w:r>
      <w:r w:rsidRPr="00B87BBB">
        <w:rPr>
          <w:rFonts w:eastAsia="Arial"/>
          <w:sz w:val="24"/>
          <w:szCs w:val="24"/>
        </w:rPr>
        <w:t xml:space="preserve"> publics, groupement</w:t>
      </w:r>
      <w:r w:rsidR="002D5F3B" w:rsidRPr="00B87BBB">
        <w:rPr>
          <w:rFonts w:eastAsia="Arial"/>
          <w:sz w:val="24"/>
          <w:szCs w:val="24"/>
        </w:rPr>
        <w:t>s</w:t>
      </w:r>
      <w:r w:rsidRPr="00B87BBB">
        <w:rPr>
          <w:rFonts w:eastAsia="Arial"/>
          <w:sz w:val="24"/>
          <w:szCs w:val="24"/>
        </w:rPr>
        <w:t xml:space="preserve"> d’intérêt public</w:t>
      </w:r>
      <w:r w:rsidR="002D5F3B" w:rsidRPr="00B87BBB">
        <w:rPr>
          <w:rFonts w:eastAsia="Arial"/>
          <w:sz w:val="24"/>
          <w:szCs w:val="24"/>
        </w:rPr>
        <w:t>, CCAS, …</w:t>
      </w:r>
      <w:r w:rsidRPr="00B87BBB">
        <w:rPr>
          <w:rFonts w:eastAsia="Arial"/>
          <w:sz w:val="24"/>
          <w:szCs w:val="24"/>
        </w:rPr>
        <w:t>) et aux personnes morales de droit privé (</w:t>
      </w:r>
      <w:r w:rsidR="002D5F3B" w:rsidRPr="00B87BBB">
        <w:rPr>
          <w:rFonts w:eastAsia="Arial"/>
          <w:sz w:val="24"/>
          <w:szCs w:val="24"/>
        </w:rPr>
        <w:t>s</w:t>
      </w:r>
      <w:r w:rsidRPr="00B87BBB">
        <w:rPr>
          <w:rFonts w:eastAsia="Arial"/>
          <w:sz w:val="24"/>
          <w:szCs w:val="24"/>
        </w:rPr>
        <w:t xml:space="preserve">ociété d’économie mixte, </w:t>
      </w:r>
      <w:r w:rsidR="002D5F3B" w:rsidRPr="00B87BBB">
        <w:rPr>
          <w:rFonts w:eastAsia="Arial"/>
          <w:sz w:val="24"/>
          <w:szCs w:val="24"/>
        </w:rPr>
        <w:t>s</w:t>
      </w:r>
      <w:r w:rsidRPr="00B87BBB">
        <w:rPr>
          <w:rFonts w:eastAsia="Arial"/>
          <w:sz w:val="24"/>
          <w:szCs w:val="24"/>
        </w:rPr>
        <w:t>ociété publique locale, organisme d’habitation à loyer modéré, établissement d’enseignement, établissement de santé, maison de retraite</w:t>
      </w:r>
      <w:r w:rsidR="002D5F3B" w:rsidRPr="00B87BBB">
        <w:rPr>
          <w:rFonts w:eastAsia="Arial"/>
          <w:sz w:val="24"/>
          <w:szCs w:val="24"/>
        </w:rPr>
        <w:t xml:space="preserve">, </w:t>
      </w:r>
      <w:r w:rsidRPr="00B87BBB">
        <w:rPr>
          <w:rFonts w:eastAsia="Arial"/>
          <w:sz w:val="24"/>
          <w:szCs w:val="24"/>
        </w:rPr>
        <w:t>…) dont le siège est situé dans la région Normandie.</w:t>
      </w:r>
    </w:p>
    <w:p w:rsidR="0094641A" w:rsidRPr="00B87BBB" w:rsidRDefault="00FD65F1" w:rsidP="00FD65F1">
      <w:pPr>
        <w:contextualSpacing/>
        <w:jc w:val="both"/>
        <w:rPr>
          <w:rFonts w:eastAsia="Arial"/>
          <w:sz w:val="24"/>
          <w:szCs w:val="24"/>
        </w:rPr>
      </w:pPr>
      <w:r w:rsidRPr="00B87BBB">
        <w:rPr>
          <w:rFonts w:eastAsia="Arial"/>
          <w:sz w:val="24"/>
          <w:szCs w:val="24"/>
        </w:rPr>
        <w:lastRenderedPageBreak/>
        <w:t>Les personnes privées à vocation commerciale et industrielle sont exclues du périmètre du groupement.</w:t>
      </w:r>
    </w:p>
    <w:p w:rsidR="0094641A" w:rsidRPr="00B87BBB" w:rsidRDefault="0094641A" w:rsidP="00FD65F1">
      <w:pPr>
        <w:contextualSpacing/>
        <w:jc w:val="both"/>
        <w:rPr>
          <w:rFonts w:eastAsia="Arial"/>
          <w:sz w:val="24"/>
          <w:szCs w:val="24"/>
        </w:rPr>
      </w:pPr>
    </w:p>
    <w:p w:rsidR="00FD65F1" w:rsidRPr="00B87BBB" w:rsidRDefault="00FD65F1" w:rsidP="00FD65F1">
      <w:pPr>
        <w:tabs>
          <w:tab w:val="left" w:pos="10224"/>
        </w:tabs>
        <w:rPr>
          <w:b/>
          <w:snapToGrid w:val="0"/>
          <w:sz w:val="24"/>
          <w:szCs w:val="24"/>
          <w:u w:val="single"/>
        </w:rPr>
      </w:pPr>
      <w:r w:rsidRPr="00B87BBB">
        <w:rPr>
          <w:b/>
          <w:snapToGrid w:val="0"/>
          <w:sz w:val="24"/>
          <w:szCs w:val="24"/>
          <w:u w:val="single"/>
        </w:rPr>
        <w:t>ARTICLE 3</w:t>
      </w:r>
      <w:r w:rsidRPr="00B87BBB">
        <w:rPr>
          <w:b/>
          <w:snapToGrid w:val="0"/>
          <w:sz w:val="24"/>
          <w:szCs w:val="24"/>
        </w:rPr>
        <w:t xml:space="preserve"> –  </w:t>
      </w:r>
      <w:r w:rsidRPr="00B87BBB">
        <w:rPr>
          <w:b/>
          <w:snapToGrid w:val="0"/>
          <w:sz w:val="24"/>
          <w:szCs w:val="24"/>
          <w:u w:val="single"/>
        </w:rPr>
        <w:t>CONDITIONS D’ADHESION ET DE SORTIE DU GROUPEMENT</w:t>
      </w:r>
    </w:p>
    <w:p w:rsidR="00FD65F1" w:rsidRPr="00B87BBB" w:rsidRDefault="00FD65F1" w:rsidP="00FD65F1">
      <w:pPr>
        <w:contextualSpacing/>
        <w:jc w:val="both"/>
        <w:rPr>
          <w:sz w:val="24"/>
          <w:szCs w:val="24"/>
        </w:rPr>
      </w:pPr>
    </w:p>
    <w:p w:rsidR="00FD65F1" w:rsidRPr="00B87BBB" w:rsidRDefault="00FD65F1" w:rsidP="00FD65F1">
      <w:pPr>
        <w:spacing w:after="120"/>
        <w:jc w:val="both"/>
        <w:rPr>
          <w:b/>
          <w:sz w:val="24"/>
          <w:szCs w:val="24"/>
        </w:rPr>
      </w:pPr>
      <w:r w:rsidRPr="00B87BBB">
        <w:rPr>
          <w:b/>
          <w:sz w:val="24"/>
          <w:szCs w:val="24"/>
        </w:rPr>
        <w:t>3.1 - Conditions d’adhésion au groupement</w:t>
      </w:r>
    </w:p>
    <w:p w:rsidR="00FD65F1" w:rsidRPr="00B87BBB" w:rsidRDefault="00FD65F1" w:rsidP="009718C0">
      <w:pPr>
        <w:spacing w:after="120"/>
        <w:jc w:val="both"/>
        <w:rPr>
          <w:sz w:val="24"/>
          <w:szCs w:val="24"/>
        </w:rPr>
      </w:pPr>
      <w:r w:rsidRPr="00B87BBB">
        <w:rPr>
          <w:sz w:val="24"/>
          <w:szCs w:val="24"/>
        </w:rPr>
        <w:t xml:space="preserve">Les membres fondateurs du groupement de commandes qui figurent supra acceptent, sans qu’il soit besoin de délibérer, l’adhésion au groupement de toute commune ou communauté de communes membres du SDE76 et des EPCI non adhérents au SDE76, après délibération de ceux-ci. </w:t>
      </w:r>
    </w:p>
    <w:p w:rsidR="009718C0" w:rsidRPr="00B87BBB" w:rsidRDefault="009718C0" w:rsidP="009718C0">
      <w:pPr>
        <w:spacing w:after="120"/>
        <w:jc w:val="both"/>
        <w:rPr>
          <w:sz w:val="24"/>
          <w:szCs w:val="24"/>
        </w:rPr>
      </w:pPr>
      <w:r w:rsidRPr="00B87BBB">
        <w:rPr>
          <w:sz w:val="24"/>
          <w:szCs w:val="24"/>
        </w:rPr>
        <w:t>Chaque membre adhère au groupement par une délibération ou décision selon ses règles</w:t>
      </w:r>
      <w:r w:rsidR="009D01A7" w:rsidRPr="00B87BBB">
        <w:rPr>
          <w:sz w:val="24"/>
          <w:szCs w:val="24"/>
        </w:rPr>
        <w:t xml:space="preserve"> propres</w:t>
      </w:r>
      <w:r w:rsidRPr="00B87BBB">
        <w:rPr>
          <w:sz w:val="24"/>
          <w:szCs w:val="24"/>
        </w:rPr>
        <w:t xml:space="preserve">. Cette décision est notifiée au coordonnateur. L’adhésion des personnes relevant du Code Général des Collectivités Territoriales est soumis à l’approbation de leur assemblée délibérante, dans les conditions fixées par </w:t>
      </w:r>
      <w:r w:rsidR="00D90BC1" w:rsidRPr="00B87BBB">
        <w:rPr>
          <w:sz w:val="24"/>
          <w:szCs w:val="24"/>
        </w:rPr>
        <w:t>c</w:t>
      </w:r>
      <w:r w:rsidRPr="00B87BBB">
        <w:rPr>
          <w:sz w:val="24"/>
          <w:szCs w:val="24"/>
        </w:rPr>
        <w:t>e Code.</w:t>
      </w:r>
    </w:p>
    <w:p w:rsidR="00E40B06" w:rsidRPr="00B87BBB" w:rsidRDefault="00E40B06" w:rsidP="009718C0">
      <w:pPr>
        <w:spacing w:after="120"/>
        <w:jc w:val="both"/>
        <w:rPr>
          <w:sz w:val="24"/>
          <w:szCs w:val="24"/>
        </w:rPr>
      </w:pPr>
      <w:r w:rsidRPr="00B87BBB">
        <w:rPr>
          <w:sz w:val="24"/>
          <w:szCs w:val="24"/>
        </w:rPr>
        <w:t>L’adhésion d’un nouveau membre peut intervenir à tout moment. Toutefois, un nouveau membre ne saurait prendre part à un accord-cadre ou un marché en cours au moment de son adhésion.</w:t>
      </w:r>
    </w:p>
    <w:p w:rsidR="00FD65F1" w:rsidRPr="00B87BBB" w:rsidRDefault="00FD65F1" w:rsidP="009718C0">
      <w:pPr>
        <w:spacing w:after="120"/>
        <w:jc w:val="both"/>
        <w:rPr>
          <w:sz w:val="24"/>
          <w:szCs w:val="24"/>
        </w:rPr>
      </w:pPr>
      <w:r w:rsidRPr="00B87BBB">
        <w:rPr>
          <w:sz w:val="24"/>
          <w:szCs w:val="24"/>
        </w:rPr>
        <w:t xml:space="preserve">Une fois membre du groupement, l’EPCI, la commune ou la communauté de communes accepte également l’entrée dans le groupement d’un autre adhérent du SDE76. Le coordonnateur complète en conséquence la convention constitutive, </w:t>
      </w:r>
      <w:r w:rsidR="00C550F6" w:rsidRPr="00B87BBB">
        <w:rPr>
          <w:sz w:val="24"/>
          <w:szCs w:val="24"/>
        </w:rPr>
        <w:t xml:space="preserve">indique la nouvelle date à laquelle la convention constitutive modifiée est arrêtée, </w:t>
      </w:r>
      <w:r w:rsidRPr="00B87BBB">
        <w:rPr>
          <w:sz w:val="24"/>
          <w:szCs w:val="24"/>
        </w:rPr>
        <w:t xml:space="preserve">la dépose en préfecture et la notifie aux autres membres du groupement. </w:t>
      </w:r>
    </w:p>
    <w:p w:rsidR="00FD65F1" w:rsidRPr="00B87BBB" w:rsidRDefault="00FD65F1" w:rsidP="00FD65F1">
      <w:pPr>
        <w:contextualSpacing/>
        <w:jc w:val="both"/>
        <w:rPr>
          <w:sz w:val="24"/>
          <w:szCs w:val="24"/>
        </w:rPr>
      </w:pPr>
    </w:p>
    <w:p w:rsidR="00FD65F1" w:rsidRPr="00B87BBB" w:rsidRDefault="00FD65F1" w:rsidP="00FD65F1">
      <w:pPr>
        <w:spacing w:after="120"/>
        <w:jc w:val="both"/>
        <w:rPr>
          <w:b/>
          <w:sz w:val="24"/>
          <w:szCs w:val="24"/>
        </w:rPr>
      </w:pPr>
      <w:r w:rsidRPr="00B87BBB">
        <w:rPr>
          <w:b/>
          <w:sz w:val="24"/>
          <w:szCs w:val="24"/>
        </w:rPr>
        <w:t xml:space="preserve">3.2 </w:t>
      </w:r>
      <w:r w:rsidR="002D5F3B" w:rsidRPr="00B87BBB">
        <w:rPr>
          <w:b/>
          <w:sz w:val="24"/>
          <w:szCs w:val="24"/>
        </w:rPr>
        <w:t>-</w:t>
      </w:r>
      <w:r w:rsidRPr="00B87BBB">
        <w:rPr>
          <w:b/>
          <w:sz w:val="24"/>
          <w:szCs w:val="24"/>
        </w:rPr>
        <w:t xml:space="preserve"> Conditions de sortie du groupement</w:t>
      </w:r>
    </w:p>
    <w:p w:rsidR="009D01A7" w:rsidRPr="00B87BBB" w:rsidRDefault="009D01A7" w:rsidP="003C35DB">
      <w:pPr>
        <w:spacing w:after="120"/>
        <w:jc w:val="both"/>
        <w:rPr>
          <w:sz w:val="24"/>
          <w:szCs w:val="24"/>
        </w:rPr>
      </w:pPr>
      <w:r w:rsidRPr="00B87BBB">
        <w:rPr>
          <w:sz w:val="24"/>
          <w:szCs w:val="24"/>
        </w:rPr>
        <w:t>Le retrait d’un membre du groupement est constaté par une décision selon ses règles propres.</w:t>
      </w:r>
      <w:r w:rsidR="003C35DB" w:rsidRPr="00B87BBB">
        <w:rPr>
          <w:sz w:val="24"/>
          <w:szCs w:val="24"/>
        </w:rPr>
        <w:t xml:space="preserve"> Cette décision est notifiée au coordonnateur. Le retrait ne prend effet </w:t>
      </w:r>
      <w:r w:rsidR="00D90BC1" w:rsidRPr="00B87BBB">
        <w:rPr>
          <w:sz w:val="24"/>
          <w:szCs w:val="24"/>
        </w:rPr>
        <w:t xml:space="preserve">définitivement </w:t>
      </w:r>
      <w:r w:rsidR="005C2EC3" w:rsidRPr="00B87BBB">
        <w:rPr>
          <w:sz w:val="24"/>
          <w:szCs w:val="24"/>
        </w:rPr>
        <w:t xml:space="preserve">qu’à l’expiration des </w:t>
      </w:r>
      <w:r w:rsidR="003C35DB" w:rsidRPr="00B87BBB">
        <w:rPr>
          <w:sz w:val="24"/>
          <w:szCs w:val="24"/>
        </w:rPr>
        <w:t>marchés</w:t>
      </w:r>
      <w:r w:rsidR="00FC67AF" w:rsidRPr="00B87BBB">
        <w:rPr>
          <w:sz w:val="24"/>
          <w:szCs w:val="24"/>
        </w:rPr>
        <w:t xml:space="preserve"> subséquents</w:t>
      </w:r>
      <w:r w:rsidR="003C35DB" w:rsidRPr="00B87BBB">
        <w:rPr>
          <w:sz w:val="24"/>
          <w:szCs w:val="24"/>
        </w:rPr>
        <w:t xml:space="preserve"> en cours</w:t>
      </w:r>
      <w:r w:rsidR="00C550F6" w:rsidRPr="00B87BBB">
        <w:rPr>
          <w:sz w:val="24"/>
          <w:szCs w:val="24"/>
        </w:rPr>
        <w:t xml:space="preserve"> qui concernent ce membre et dont il devra honorer les conditions jusqu’à leurs termes respectifs. Cependant, dés connaissance du retrait, le SDE76 ne fera plus participer ce membre à aucune nouvelle mise en concurrence</w:t>
      </w:r>
      <w:r w:rsidR="003C35DB" w:rsidRPr="00B87BBB">
        <w:rPr>
          <w:sz w:val="24"/>
          <w:szCs w:val="24"/>
        </w:rPr>
        <w:t>.</w:t>
      </w:r>
    </w:p>
    <w:p w:rsidR="00FD65F1" w:rsidRPr="00B87BBB" w:rsidRDefault="00FD65F1" w:rsidP="003C35DB">
      <w:pPr>
        <w:spacing w:after="120"/>
        <w:jc w:val="both"/>
        <w:rPr>
          <w:sz w:val="24"/>
          <w:szCs w:val="24"/>
        </w:rPr>
      </w:pPr>
      <w:r w:rsidRPr="00B87BBB">
        <w:rPr>
          <w:sz w:val="24"/>
          <w:szCs w:val="24"/>
        </w:rPr>
        <w:t xml:space="preserve">Le coordonnateur effectue le solde comptable et financier de la situation du membre sortant. Si cette sortie entraîne des modifications sur le fonctionnement du groupement, elles sont prises en compte dans une convention modificative. </w:t>
      </w:r>
    </w:p>
    <w:p w:rsidR="00C550F6" w:rsidRPr="00B87BBB" w:rsidRDefault="00C550F6" w:rsidP="00C550F6">
      <w:pPr>
        <w:spacing w:after="120"/>
        <w:jc w:val="both"/>
        <w:rPr>
          <w:sz w:val="24"/>
          <w:szCs w:val="24"/>
        </w:rPr>
      </w:pPr>
      <w:r w:rsidRPr="00B87BBB">
        <w:rPr>
          <w:sz w:val="24"/>
          <w:szCs w:val="24"/>
        </w:rPr>
        <w:t xml:space="preserve">Le coordonnateur complète en conséquence la convention constitutive, indique la nouvelle date à laquelle la convention constitutive modifiée par le retrait est arrêtée, la dépose en préfecture et la notifie aux autres membres du groupement. </w:t>
      </w:r>
    </w:p>
    <w:p w:rsidR="00C550F6" w:rsidRPr="00B87BBB" w:rsidRDefault="00C550F6" w:rsidP="003C35DB">
      <w:pPr>
        <w:spacing w:after="120"/>
        <w:jc w:val="both"/>
        <w:rPr>
          <w:sz w:val="24"/>
          <w:szCs w:val="24"/>
        </w:rPr>
      </w:pPr>
    </w:p>
    <w:p w:rsidR="00FD65F1" w:rsidRPr="00B87BBB" w:rsidRDefault="00FD65F1" w:rsidP="00FD65F1">
      <w:pPr>
        <w:tabs>
          <w:tab w:val="left" w:pos="10224"/>
        </w:tabs>
        <w:ind w:left="851" w:firstLine="851"/>
        <w:jc w:val="both"/>
        <w:rPr>
          <w:snapToGrid w:val="0"/>
          <w:sz w:val="24"/>
          <w:szCs w:val="24"/>
        </w:rPr>
      </w:pPr>
    </w:p>
    <w:p w:rsidR="00FD65F1" w:rsidRPr="00B87BBB" w:rsidRDefault="00FD65F1" w:rsidP="00FD65F1">
      <w:pPr>
        <w:tabs>
          <w:tab w:val="left" w:pos="10224"/>
        </w:tabs>
        <w:rPr>
          <w:b/>
          <w:snapToGrid w:val="0"/>
          <w:sz w:val="24"/>
          <w:szCs w:val="24"/>
          <w:u w:val="single"/>
        </w:rPr>
      </w:pPr>
      <w:r w:rsidRPr="00B87BBB">
        <w:rPr>
          <w:b/>
          <w:snapToGrid w:val="0"/>
          <w:sz w:val="24"/>
          <w:szCs w:val="24"/>
          <w:u w:val="single"/>
        </w:rPr>
        <w:t>ARTICLE 4</w:t>
      </w:r>
      <w:r w:rsidRPr="00B87BBB">
        <w:rPr>
          <w:b/>
          <w:snapToGrid w:val="0"/>
          <w:sz w:val="24"/>
          <w:szCs w:val="24"/>
        </w:rPr>
        <w:t xml:space="preserve"> –</w:t>
      </w:r>
      <w:r w:rsidRPr="00B87BBB">
        <w:rPr>
          <w:b/>
          <w:snapToGrid w:val="0"/>
          <w:sz w:val="24"/>
          <w:szCs w:val="24"/>
          <w:u w:val="single"/>
        </w:rPr>
        <w:t xml:space="preserve"> FONCTIONNEMENT DU GROUPEMENT</w:t>
      </w: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4.1 Obligation des membres</w:t>
      </w:r>
    </w:p>
    <w:p w:rsidR="00FD65F1" w:rsidRPr="00B87BBB" w:rsidRDefault="002D5F3B" w:rsidP="00FD65F1">
      <w:pPr>
        <w:spacing w:after="120"/>
        <w:contextualSpacing/>
        <w:jc w:val="both"/>
        <w:rPr>
          <w:rFonts w:eastAsia="Arial"/>
          <w:sz w:val="24"/>
          <w:szCs w:val="24"/>
        </w:rPr>
      </w:pPr>
      <w:r w:rsidRPr="00B87BBB">
        <w:rPr>
          <w:rFonts w:eastAsia="Arial"/>
          <w:sz w:val="24"/>
          <w:szCs w:val="24"/>
        </w:rPr>
        <w:t>Chaque</w:t>
      </w:r>
      <w:r w:rsidR="00FD65F1" w:rsidRPr="00B87BBB">
        <w:rPr>
          <w:rFonts w:eastAsia="Arial"/>
          <w:sz w:val="24"/>
          <w:szCs w:val="24"/>
        </w:rPr>
        <w:t xml:space="preserve"> membre </w:t>
      </w:r>
      <w:r w:rsidRPr="00B87BBB">
        <w:rPr>
          <w:rFonts w:eastAsia="Arial"/>
          <w:sz w:val="24"/>
          <w:szCs w:val="24"/>
        </w:rPr>
        <w:t>e</w:t>
      </w:r>
      <w:r w:rsidR="00FD65F1" w:rsidRPr="00B87BBB">
        <w:rPr>
          <w:rFonts w:eastAsia="Arial"/>
          <w:sz w:val="24"/>
          <w:szCs w:val="24"/>
        </w:rPr>
        <w:t>st chargé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communiquer au coordonnateur une évaluation de leurs besoins quantitatifs par point de livraison, par le truchement éventuellement d’une fiche de recensement</w:t>
      </w:r>
      <w:r w:rsidR="002D5F3B" w:rsidRPr="00B87BBB">
        <w:rPr>
          <w:rFonts w:ascii="Times New Roman" w:eastAsia="Arial" w:hAnsi="Times New Roman"/>
          <w:sz w:val="24"/>
          <w:szCs w:val="24"/>
          <w:lang w:val="fr-FR"/>
        </w:rPr>
        <w:t>,</w:t>
      </w:r>
      <w:r w:rsidRPr="00B87BBB">
        <w:rPr>
          <w:rFonts w:ascii="Times New Roman" w:eastAsia="Arial" w:hAnsi="Times New Roman"/>
          <w:sz w:val="24"/>
          <w:szCs w:val="24"/>
          <w:lang w:val="fr-FR"/>
        </w:rPr>
        <w:t xml:space="preserve"> en veillant à la bonne définition des points de livraison relevant des marchés à passer dans le cadre de ce groupement et, ce, préalablement à l’envoi par le coordonnateur de l’appel public à la concurrence</w:t>
      </w:r>
      <w:r w:rsidR="002D5F3B" w:rsidRPr="00B87BBB">
        <w:rPr>
          <w:rFonts w:ascii="Times New Roman" w:eastAsia="Arial" w:hAnsi="Times New Roman"/>
          <w:sz w:val="24"/>
          <w:szCs w:val="24"/>
          <w:lang w:val="fr-FR"/>
        </w:rPr>
        <w:t>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respecter les demandes du coordonnateur en s’engageant à y répondre dans le délai imparti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participer au comité technique du groupement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participer si besoin à la définition des prescriptions administratives et techniques (CCAP, </w:t>
      </w:r>
      <w:r w:rsidRPr="00B87BBB">
        <w:rPr>
          <w:rFonts w:ascii="Times New Roman" w:eastAsia="Arial" w:hAnsi="Times New Roman"/>
          <w:sz w:val="24"/>
          <w:szCs w:val="24"/>
          <w:lang w:val="fr-FR"/>
        </w:rPr>
        <w:lastRenderedPageBreak/>
        <w:t>CCTP, règlement de consultation), en collaboration avec le coordonnateur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respecter les clauses du contrat signé par lui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d’inscrire</w:t>
      </w:r>
      <w:proofErr w:type="gramEnd"/>
      <w:r w:rsidRPr="00B87BBB">
        <w:rPr>
          <w:rFonts w:ascii="Times New Roman" w:eastAsia="Arial" w:hAnsi="Times New Roman"/>
          <w:sz w:val="24"/>
          <w:szCs w:val="24"/>
          <w:lang w:val="fr-FR"/>
        </w:rPr>
        <w:t xml:space="preserve"> le montant de l’opération qui le concerne dans le budget de sa collectivité/ EPCI et d’assurer l’exécution comptable du </w:t>
      </w:r>
      <w:r w:rsidR="00265EDF" w:rsidRPr="00B87BBB">
        <w:rPr>
          <w:rFonts w:ascii="Times New Roman" w:eastAsia="Arial" w:hAnsi="Times New Roman"/>
          <w:sz w:val="24"/>
          <w:szCs w:val="24"/>
          <w:lang w:val="fr-FR"/>
        </w:rPr>
        <w:t>(</w:t>
      </w:r>
      <w:r w:rsidRPr="00B87BBB">
        <w:rPr>
          <w:rFonts w:ascii="Times New Roman" w:eastAsia="Arial" w:hAnsi="Times New Roman"/>
          <w:sz w:val="24"/>
          <w:szCs w:val="24"/>
          <w:lang w:val="fr-FR"/>
        </w:rPr>
        <w:t>ou des</w:t>
      </w:r>
      <w:r w:rsidR="00265EDF" w:rsidRPr="00B87BBB">
        <w:rPr>
          <w:rFonts w:ascii="Times New Roman" w:eastAsia="Arial" w:hAnsi="Times New Roman"/>
          <w:sz w:val="24"/>
          <w:szCs w:val="24"/>
          <w:lang w:val="fr-FR"/>
        </w:rPr>
        <w:t>)</w:t>
      </w:r>
      <w:r w:rsidRPr="00B87BBB">
        <w:rPr>
          <w:rFonts w:ascii="Times New Roman" w:eastAsia="Arial" w:hAnsi="Times New Roman"/>
          <w:sz w:val="24"/>
          <w:szCs w:val="24"/>
          <w:lang w:val="fr-FR"/>
        </w:rPr>
        <w:t xml:space="preserve"> marché(s) et/ ou accord(s)-cadre(s) et marché(s) subséquent(s) qui le concerne(nt)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d’informer</w:t>
      </w:r>
      <w:proofErr w:type="gramEnd"/>
      <w:r w:rsidRPr="00B87BBB">
        <w:rPr>
          <w:rFonts w:ascii="Times New Roman" w:eastAsia="Arial" w:hAnsi="Times New Roman"/>
          <w:sz w:val="24"/>
          <w:szCs w:val="24"/>
          <w:lang w:val="fr-FR"/>
        </w:rPr>
        <w:t xml:space="preserve"> le coordonnateur de tout litige né à l’occasion de l’exécution de ses marchés et/ou accords-cadres et marchés subséquents. Le règlement des litiges relève de la responsabilité de chacun des membres du groupement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participer financièrement aux frais de fonctionnement du groupement conformément à l'article 4.5.</w:t>
      </w:r>
    </w:p>
    <w:p w:rsidR="00E40B06" w:rsidRPr="00B87BBB" w:rsidRDefault="00E40B06" w:rsidP="00FD65F1">
      <w:pPr>
        <w:tabs>
          <w:tab w:val="left" w:pos="10224"/>
        </w:tabs>
        <w:spacing w:after="120"/>
        <w:jc w:val="both"/>
        <w:rPr>
          <w:b/>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4.2 – Durée</w:t>
      </w:r>
    </w:p>
    <w:p w:rsidR="00FD65F1" w:rsidRPr="00B87BBB" w:rsidRDefault="00FD65F1" w:rsidP="00FD65F1">
      <w:pPr>
        <w:tabs>
          <w:tab w:val="left" w:pos="10224"/>
        </w:tabs>
        <w:jc w:val="both"/>
        <w:rPr>
          <w:snapToGrid w:val="0"/>
          <w:sz w:val="24"/>
          <w:szCs w:val="24"/>
        </w:rPr>
      </w:pPr>
      <w:r w:rsidRPr="00B87BBB">
        <w:rPr>
          <w:snapToGrid w:val="0"/>
          <w:sz w:val="24"/>
          <w:szCs w:val="24"/>
        </w:rPr>
        <w:t>Le groupement de commandes est constitué à l’entrée en vigueur de la présente convention.</w:t>
      </w:r>
    </w:p>
    <w:p w:rsidR="00FD65F1" w:rsidRPr="00B87BBB" w:rsidRDefault="00FD65F1" w:rsidP="00FD65F1">
      <w:pPr>
        <w:tabs>
          <w:tab w:val="left" w:pos="10224"/>
        </w:tabs>
        <w:jc w:val="both"/>
        <w:rPr>
          <w:snapToGrid w:val="0"/>
          <w:sz w:val="16"/>
          <w:szCs w:val="16"/>
        </w:rPr>
      </w:pPr>
    </w:p>
    <w:p w:rsidR="00C550F6" w:rsidRPr="00B87BBB" w:rsidRDefault="00FD65F1" w:rsidP="00C550F6">
      <w:pPr>
        <w:spacing w:after="120"/>
        <w:jc w:val="both"/>
        <w:rPr>
          <w:rFonts w:eastAsia="Arial"/>
          <w:sz w:val="24"/>
          <w:szCs w:val="24"/>
        </w:rPr>
      </w:pPr>
      <w:r w:rsidRPr="00B87BBB">
        <w:rPr>
          <w:rFonts w:eastAsia="Arial"/>
          <w:sz w:val="24"/>
          <w:szCs w:val="24"/>
        </w:rPr>
        <w:t>À la suite de la réception par le coordonnateur de toutes les délibérations constitutives des collectivités membres du groupement, telles que répertoriées supra, il est procédé à la signature de la présente convention par l'ensemble des parties et la date d'effet de la convention est celle de la notification de la convention à tous les membres, à la diligence du coordonnateur.</w:t>
      </w:r>
      <w:r w:rsidR="00C550F6" w:rsidRPr="00B87BBB">
        <w:rPr>
          <w:rFonts w:eastAsia="Arial"/>
          <w:sz w:val="24"/>
          <w:szCs w:val="24"/>
        </w:rPr>
        <w:t xml:space="preserve"> </w:t>
      </w:r>
    </w:p>
    <w:p w:rsidR="00FD65F1" w:rsidRPr="00B87BBB" w:rsidRDefault="00FD65F1" w:rsidP="00FD65F1">
      <w:pPr>
        <w:contextualSpacing/>
        <w:jc w:val="both"/>
        <w:rPr>
          <w:rFonts w:eastAsia="Arial"/>
          <w:sz w:val="24"/>
          <w:szCs w:val="24"/>
        </w:rPr>
      </w:pPr>
      <w:r w:rsidRPr="00B87BBB">
        <w:rPr>
          <w:rFonts w:eastAsia="Arial"/>
          <w:sz w:val="24"/>
          <w:szCs w:val="24"/>
        </w:rPr>
        <w:t>Le présent groupement ayant pour objet un achat répétitif est conclu pour une durée illimitée et institué à titre permanant.</w:t>
      </w:r>
    </w:p>
    <w:p w:rsidR="00FD65F1" w:rsidRPr="00B87BBB" w:rsidRDefault="00FD65F1" w:rsidP="00FD65F1">
      <w:pPr>
        <w:tabs>
          <w:tab w:val="left" w:pos="10224"/>
        </w:tabs>
        <w:jc w:val="both"/>
        <w:rPr>
          <w:snapToGrid w:val="0"/>
          <w:sz w:val="24"/>
          <w:szCs w:val="24"/>
        </w:rPr>
      </w:pPr>
    </w:p>
    <w:p w:rsidR="00C550F6" w:rsidRPr="00B87BBB" w:rsidRDefault="00C550F6" w:rsidP="00C550F6">
      <w:pPr>
        <w:spacing w:after="120"/>
        <w:jc w:val="both"/>
        <w:rPr>
          <w:sz w:val="24"/>
          <w:szCs w:val="24"/>
        </w:rPr>
      </w:pPr>
      <w:r w:rsidRPr="00B87BBB">
        <w:rPr>
          <w:sz w:val="24"/>
          <w:szCs w:val="24"/>
        </w:rPr>
        <w:t xml:space="preserve">En conséquence, le coordonnateur complètera la convention constitutive à chaque nouvelle adhésion ou demande de retrait, indiquera la nouvelle date à laquelle la convention constitutive modifiée est arrêtée, la déposera en préfecture et la notifiera aux autres membres du groupement. </w:t>
      </w: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4.3 – Pouvoir adjudicateur</w:t>
      </w:r>
    </w:p>
    <w:p w:rsidR="00FD65F1" w:rsidRPr="00B87BBB" w:rsidRDefault="00FD65F1" w:rsidP="00FD65F1">
      <w:pPr>
        <w:tabs>
          <w:tab w:val="left" w:pos="10224"/>
        </w:tabs>
        <w:jc w:val="both"/>
        <w:rPr>
          <w:snapToGrid w:val="0"/>
          <w:sz w:val="24"/>
          <w:szCs w:val="24"/>
        </w:rPr>
      </w:pPr>
      <w:r w:rsidRPr="00B87BBB">
        <w:rPr>
          <w:snapToGrid w:val="0"/>
          <w:sz w:val="24"/>
          <w:szCs w:val="24"/>
        </w:rPr>
        <w:t xml:space="preserve">Le Syndicat Départemental d’Energie de la Seine-Maritime (SDE76) est désigné Pouvoir adjudicateur pour </w:t>
      </w:r>
      <w:r w:rsidR="00E40B06" w:rsidRPr="00B87BBB">
        <w:rPr>
          <w:snapToGrid w:val="0"/>
          <w:sz w:val="24"/>
          <w:szCs w:val="24"/>
        </w:rPr>
        <w:t>les</w:t>
      </w:r>
      <w:r w:rsidRPr="00B87BBB">
        <w:rPr>
          <w:snapToGrid w:val="0"/>
          <w:sz w:val="24"/>
          <w:szCs w:val="24"/>
        </w:rPr>
        <w:t xml:space="preserve"> accord</w:t>
      </w:r>
      <w:r w:rsidR="00E40B06" w:rsidRPr="00B87BBB">
        <w:rPr>
          <w:snapToGrid w:val="0"/>
          <w:sz w:val="24"/>
          <w:szCs w:val="24"/>
        </w:rPr>
        <w:t>s</w:t>
      </w:r>
      <w:r w:rsidRPr="00B87BBB">
        <w:rPr>
          <w:snapToGrid w:val="0"/>
          <w:sz w:val="24"/>
          <w:szCs w:val="24"/>
        </w:rPr>
        <w:t>-cadre</w:t>
      </w:r>
      <w:r w:rsidR="00E40B06" w:rsidRPr="00B87BBB">
        <w:rPr>
          <w:snapToGrid w:val="0"/>
          <w:sz w:val="24"/>
          <w:szCs w:val="24"/>
        </w:rPr>
        <w:t>s</w:t>
      </w:r>
      <w:r w:rsidRPr="00B87BBB">
        <w:rPr>
          <w:snapToGrid w:val="0"/>
          <w:sz w:val="24"/>
          <w:szCs w:val="24"/>
        </w:rPr>
        <w:t xml:space="preserve"> et marchés subséquents</w:t>
      </w:r>
      <w:r w:rsidR="00E40B06" w:rsidRPr="00B87BBB">
        <w:rPr>
          <w:snapToGrid w:val="0"/>
          <w:sz w:val="24"/>
          <w:szCs w:val="24"/>
        </w:rPr>
        <w:t xml:space="preserve"> associés au présent groupement</w:t>
      </w:r>
      <w:r w:rsidRPr="00B87BBB">
        <w:rPr>
          <w:snapToGrid w:val="0"/>
          <w:sz w:val="24"/>
          <w:szCs w:val="24"/>
        </w:rPr>
        <w:t>.</w:t>
      </w:r>
    </w:p>
    <w:p w:rsidR="00FD65F1" w:rsidRPr="00B87BBB" w:rsidRDefault="00FD65F1" w:rsidP="00FD65F1">
      <w:pPr>
        <w:tabs>
          <w:tab w:val="left" w:pos="10224"/>
        </w:tabs>
        <w:ind w:left="1134"/>
        <w:jc w:val="both"/>
        <w:rPr>
          <w:snapToGrid w:val="0"/>
          <w:sz w:val="16"/>
          <w:szCs w:val="16"/>
        </w:rPr>
      </w:pPr>
    </w:p>
    <w:p w:rsidR="00FD65F1" w:rsidRPr="00B87BBB" w:rsidRDefault="00FD65F1" w:rsidP="00FD65F1">
      <w:pPr>
        <w:tabs>
          <w:tab w:val="left" w:pos="10224"/>
        </w:tabs>
        <w:jc w:val="both"/>
        <w:rPr>
          <w:snapToGrid w:val="0"/>
          <w:sz w:val="24"/>
          <w:szCs w:val="24"/>
        </w:rPr>
      </w:pPr>
      <w:r w:rsidRPr="00B87BBB">
        <w:rPr>
          <w:snapToGrid w:val="0"/>
          <w:sz w:val="24"/>
          <w:szCs w:val="24"/>
        </w:rPr>
        <w:t>Le</w:t>
      </w:r>
      <w:r w:rsidR="00DC5AE6" w:rsidRPr="00B87BBB">
        <w:rPr>
          <w:snapToGrid w:val="0"/>
          <w:sz w:val="24"/>
          <w:szCs w:val="24"/>
        </w:rPr>
        <w:t>s</w:t>
      </w:r>
      <w:r w:rsidRPr="00B87BBB">
        <w:rPr>
          <w:snapToGrid w:val="0"/>
          <w:sz w:val="24"/>
          <w:szCs w:val="24"/>
        </w:rPr>
        <w:t xml:space="preserve"> dossier</w:t>
      </w:r>
      <w:r w:rsidR="00DC5AE6" w:rsidRPr="00B87BBB">
        <w:rPr>
          <w:snapToGrid w:val="0"/>
          <w:sz w:val="24"/>
          <w:szCs w:val="24"/>
        </w:rPr>
        <w:t>s</w:t>
      </w:r>
      <w:r w:rsidRPr="00B87BBB">
        <w:rPr>
          <w:snapToGrid w:val="0"/>
          <w:sz w:val="24"/>
          <w:szCs w:val="24"/>
        </w:rPr>
        <w:t xml:space="preserve"> de consultation des entreprises et notamment les critères de jugement des offres et leurs pondérations seront adoptés à ce titre par l’assemblée délibérante du SDE76.</w:t>
      </w: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4.4 – Coordonnateur du groupement</w:t>
      </w:r>
    </w:p>
    <w:p w:rsidR="001A449B" w:rsidRPr="00B87BBB" w:rsidRDefault="00FD65F1" w:rsidP="00FD65F1">
      <w:pPr>
        <w:tabs>
          <w:tab w:val="left" w:pos="10224"/>
        </w:tabs>
        <w:jc w:val="both"/>
        <w:rPr>
          <w:snapToGrid w:val="0"/>
          <w:sz w:val="24"/>
          <w:szCs w:val="24"/>
        </w:rPr>
      </w:pPr>
      <w:r w:rsidRPr="00B87BBB">
        <w:rPr>
          <w:snapToGrid w:val="0"/>
          <w:sz w:val="24"/>
          <w:szCs w:val="24"/>
        </w:rPr>
        <w:t xml:space="preserve">Le SDE76 est désigné coordonnateur du groupement de commandes </w:t>
      </w:r>
      <w:r w:rsidR="001A449B" w:rsidRPr="00B87BBB">
        <w:rPr>
          <w:snapToGrid w:val="0"/>
          <w:sz w:val="24"/>
          <w:szCs w:val="24"/>
        </w:rPr>
        <w:t xml:space="preserve">par l’ensemble des membres </w:t>
      </w:r>
      <w:r w:rsidRPr="00B87BBB">
        <w:rPr>
          <w:snapToGrid w:val="0"/>
          <w:sz w:val="24"/>
          <w:szCs w:val="24"/>
        </w:rPr>
        <w:t xml:space="preserve">pour la durée de la convention. </w:t>
      </w:r>
    </w:p>
    <w:p w:rsidR="001A449B" w:rsidRPr="00B87BBB" w:rsidRDefault="00FD65F1" w:rsidP="001A449B">
      <w:pPr>
        <w:tabs>
          <w:tab w:val="left" w:pos="1134"/>
        </w:tabs>
        <w:spacing w:before="120" w:after="120"/>
        <w:jc w:val="both"/>
        <w:rPr>
          <w:snapToGrid w:val="0"/>
          <w:sz w:val="24"/>
          <w:szCs w:val="24"/>
        </w:rPr>
      </w:pPr>
      <w:r w:rsidRPr="00B87BBB">
        <w:rPr>
          <w:snapToGrid w:val="0"/>
          <w:sz w:val="24"/>
          <w:szCs w:val="24"/>
        </w:rPr>
        <w:t>Il est chargé</w:t>
      </w:r>
      <w:r w:rsidR="001A449B" w:rsidRPr="00B87BBB">
        <w:rPr>
          <w:snapToGrid w:val="0"/>
          <w:sz w:val="24"/>
          <w:szCs w:val="24"/>
        </w:rPr>
        <w:t xml:space="preserve"> à ce titre de procéder, dans le respect des textes réglementaires en </w:t>
      </w:r>
      <w:r w:rsidR="00C550F6" w:rsidRPr="00B87BBB">
        <w:rPr>
          <w:snapToGrid w:val="0"/>
          <w:sz w:val="24"/>
          <w:szCs w:val="24"/>
        </w:rPr>
        <w:t>vigueur</w:t>
      </w:r>
      <w:r w:rsidR="00265EDF" w:rsidRPr="00B87BBB">
        <w:rPr>
          <w:snapToGrid w:val="0"/>
          <w:sz w:val="24"/>
          <w:szCs w:val="24"/>
        </w:rPr>
        <w:t>,</w:t>
      </w:r>
      <w:r w:rsidR="00C550F6" w:rsidRPr="00B87BBB">
        <w:rPr>
          <w:snapToGrid w:val="0"/>
          <w:sz w:val="24"/>
          <w:szCs w:val="24"/>
        </w:rPr>
        <w:t xml:space="preserve"> </w:t>
      </w:r>
      <w:r w:rsidR="001A449B" w:rsidRPr="00B87BBB">
        <w:rPr>
          <w:snapToGrid w:val="0"/>
          <w:sz w:val="24"/>
          <w:szCs w:val="24"/>
        </w:rPr>
        <w:t>à l’organisation de l’ensemble des opérations de mise en concurrence et de sélection d’un ou de plusieurs cocontractants en vue de la satisfaction des besoins des membres dans les besoins définis à l’article 1.</w:t>
      </w:r>
    </w:p>
    <w:p w:rsidR="00FD65F1" w:rsidRPr="00B87BBB" w:rsidRDefault="001A449B" w:rsidP="00FD65F1">
      <w:pPr>
        <w:tabs>
          <w:tab w:val="left" w:pos="10224"/>
        </w:tabs>
        <w:jc w:val="both"/>
        <w:rPr>
          <w:snapToGrid w:val="0"/>
          <w:sz w:val="24"/>
          <w:szCs w:val="24"/>
        </w:rPr>
      </w:pPr>
      <w:r w:rsidRPr="00B87BBB">
        <w:rPr>
          <w:snapToGrid w:val="0"/>
          <w:sz w:val="24"/>
          <w:szCs w:val="24"/>
        </w:rPr>
        <w:t>A ce titre, le coordonnateur et notamment chargé d</w:t>
      </w:r>
      <w:r w:rsidR="00FD65F1" w:rsidRPr="00B87BBB">
        <w:rPr>
          <w:snapToGrid w:val="0"/>
          <w:sz w:val="24"/>
          <w:szCs w:val="24"/>
        </w:rPr>
        <w:t>’organiser l’ensemble des o</w:t>
      </w:r>
      <w:r w:rsidR="00DC5AE6" w:rsidRPr="00B87BBB">
        <w:rPr>
          <w:snapToGrid w:val="0"/>
          <w:sz w:val="24"/>
          <w:szCs w:val="24"/>
        </w:rPr>
        <w:t>pérations depuis la rédaction des</w:t>
      </w:r>
      <w:r w:rsidR="00FD65F1" w:rsidRPr="00B87BBB">
        <w:rPr>
          <w:snapToGrid w:val="0"/>
          <w:sz w:val="24"/>
          <w:szCs w:val="24"/>
        </w:rPr>
        <w:t xml:space="preserve"> dossier</w:t>
      </w:r>
      <w:r w:rsidR="00DC5AE6" w:rsidRPr="00B87BBB">
        <w:rPr>
          <w:snapToGrid w:val="0"/>
          <w:sz w:val="24"/>
          <w:szCs w:val="24"/>
        </w:rPr>
        <w:t>s</w:t>
      </w:r>
      <w:r w:rsidR="00FD65F1" w:rsidRPr="00B87BBB">
        <w:rPr>
          <w:snapToGrid w:val="0"/>
          <w:sz w:val="24"/>
          <w:szCs w:val="24"/>
        </w:rPr>
        <w:t xml:space="preserve"> de consultation des entreprises, la publicité, jusqu’à la sélection </w:t>
      </w:r>
      <w:r w:rsidR="00DC5AE6" w:rsidRPr="00B87BBB">
        <w:rPr>
          <w:snapToGrid w:val="0"/>
          <w:sz w:val="24"/>
          <w:szCs w:val="24"/>
        </w:rPr>
        <w:t>du(des)</w:t>
      </w:r>
      <w:r w:rsidR="00FD65F1" w:rsidRPr="00B87BBB">
        <w:rPr>
          <w:snapToGrid w:val="0"/>
          <w:sz w:val="24"/>
          <w:szCs w:val="24"/>
        </w:rPr>
        <w:t xml:space="preserve"> cocontractant(s) et la notification des </w:t>
      </w:r>
      <w:r w:rsidR="00DC5AE6" w:rsidRPr="00B87BBB">
        <w:rPr>
          <w:snapToGrid w:val="0"/>
          <w:sz w:val="24"/>
          <w:szCs w:val="24"/>
        </w:rPr>
        <w:t xml:space="preserve">marchés publics, </w:t>
      </w:r>
      <w:r w:rsidR="00DC5AE6" w:rsidRPr="00B87BBB">
        <w:rPr>
          <w:snapToGrid w:val="0"/>
          <w:sz w:val="24"/>
          <w:szCs w:val="24"/>
          <w:u w:val="single"/>
        </w:rPr>
        <w:t>ou</w:t>
      </w:r>
      <w:r w:rsidR="00DC5AE6" w:rsidRPr="00B87BBB">
        <w:rPr>
          <w:snapToGrid w:val="0"/>
          <w:sz w:val="24"/>
          <w:szCs w:val="24"/>
        </w:rPr>
        <w:t xml:space="preserve"> </w:t>
      </w:r>
      <w:r w:rsidR="00FD65F1" w:rsidRPr="00B87BBB">
        <w:rPr>
          <w:snapToGrid w:val="0"/>
          <w:sz w:val="24"/>
          <w:szCs w:val="24"/>
        </w:rPr>
        <w:t>accords-cadres et marchés subséquents.</w:t>
      </w:r>
    </w:p>
    <w:p w:rsidR="00FD65F1" w:rsidRPr="00B87BBB" w:rsidRDefault="00FD65F1" w:rsidP="00FD65F1">
      <w:pPr>
        <w:tabs>
          <w:tab w:val="left" w:pos="10224"/>
        </w:tabs>
        <w:jc w:val="both"/>
        <w:rPr>
          <w:snapToGrid w:val="0"/>
          <w:sz w:val="16"/>
          <w:szCs w:val="16"/>
        </w:rPr>
      </w:pPr>
    </w:p>
    <w:p w:rsidR="00FD65F1" w:rsidRPr="00B87BBB" w:rsidRDefault="00FD65F1" w:rsidP="00FD65F1">
      <w:pPr>
        <w:contextualSpacing/>
        <w:jc w:val="both"/>
        <w:rPr>
          <w:sz w:val="24"/>
          <w:szCs w:val="24"/>
        </w:rPr>
      </w:pPr>
      <w:r w:rsidRPr="00B87BBB">
        <w:rPr>
          <w:sz w:val="24"/>
          <w:szCs w:val="24"/>
        </w:rPr>
        <w:t xml:space="preserve">En cas de sortie du coordonnateur du groupement ou dans toute autre hypothèse où le coordonnateur ne serait plus en mesure d'assurer son rôle, une convention modificative ou avenant interviendra pour désigner un nouveau coordonnateur. </w:t>
      </w:r>
    </w:p>
    <w:p w:rsidR="00FD65F1" w:rsidRPr="00B87BBB" w:rsidRDefault="00FD65F1" w:rsidP="00FD65F1">
      <w:pPr>
        <w:tabs>
          <w:tab w:val="left" w:pos="10224"/>
        </w:tabs>
        <w:jc w:val="both"/>
        <w:rPr>
          <w:snapToGrid w:val="0"/>
          <w:sz w:val="16"/>
          <w:szCs w:val="16"/>
        </w:rPr>
      </w:pPr>
    </w:p>
    <w:p w:rsidR="00FD65F1" w:rsidRPr="00B87BBB" w:rsidRDefault="001A449B" w:rsidP="00FD65F1">
      <w:pPr>
        <w:contextualSpacing/>
        <w:jc w:val="both"/>
        <w:rPr>
          <w:rFonts w:eastAsia="Arial"/>
          <w:sz w:val="24"/>
          <w:szCs w:val="24"/>
        </w:rPr>
      </w:pPr>
      <w:r w:rsidRPr="00B87BBB">
        <w:rPr>
          <w:sz w:val="24"/>
          <w:szCs w:val="24"/>
        </w:rPr>
        <w:lastRenderedPageBreak/>
        <w:t>Le coordonnateur est également chargé de</w:t>
      </w:r>
      <w:r w:rsidR="00FD65F1" w:rsidRPr="00B87BBB">
        <w:rPr>
          <w:sz w:val="24"/>
          <w:szCs w:val="24"/>
        </w:rPr>
        <w:t xml:space="preserve"> signer et notifier les marchés et/ou accords-cadres et marchés subséquents</w:t>
      </w:r>
      <w:r w:rsidRPr="00B87BBB">
        <w:rPr>
          <w:sz w:val="24"/>
          <w:szCs w:val="24"/>
        </w:rPr>
        <w:t xml:space="preserve"> associés</w:t>
      </w:r>
      <w:r w:rsidR="00FD65F1" w:rsidRPr="00B87BBB">
        <w:rPr>
          <w:sz w:val="24"/>
          <w:szCs w:val="24"/>
        </w:rPr>
        <w:t>.</w:t>
      </w:r>
    </w:p>
    <w:p w:rsidR="00FD65F1" w:rsidRPr="00B87BBB" w:rsidRDefault="00FD65F1" w:rsidP="00FD65F1">
      <w:pPr>
        <w:contextualSpacing/>
        <w:jc w:val="both"/>
        <w:rPr>
          <w:strike/>
          <w:sz w:val="16"/>
          <w:szCs w:val="16"/>
        </w:rPr>
      </w:pPr>
    </w:p>
    <w:p w:rsidR="00FD65F1" w:rsidRPr="00B87BBB" w:rsidRDefault="00FD65F1" w:rsidP="00FD65F1">
      <w:pPr>
        <w:contextualSpacing/>
        <w:jc w:val="both"/>
        <w:rPr>
          <w:sz w:val="24"/>
          <w:szCs w:val="24"/>
        </w:rPr>
      </w:pPr>
      <w:r w:rsidRPr="00B87BBB">
        <w:rPr>
          <w:sz w:val="24"/>
          <w:szCs w:val="24"/>
        </w:rPr>
        <w:t xml:space="preserve">Chaque </w:t>
      </w:r>
      <w:r w:rsidR="001A449B" w:rsidRPr="00B87BBB">
        <w:rPr>
          <w:sz w:val="24"/>
          <w:szCs w:val="24"/>
        </w:rPr>
        <w:t>membre du groupement</w:t>
      </w:r>
      <w:r w:rsidRPr="00B87BBB">
        <w:rPr>
          <w:sz w:val="24"/>
          <w:szCs w:val="24"/>
        </w:rPr>
        <w:t xml:space="preserve"> est responsable de ses engagements et le coordonnateur ne saurait en aucun cas être tenu responsable de tout litige qui pourrait naître du non-respect de ses obligations. </w:t>
      </w:r>
    </w:p>
    <w:p w:rsidR="00FD65F1" w:rsidRPr="00B87BBB" w:rsidRDefault="00FD65F1" w:rsidP="00FD65F1">
      <w:pPr>
        <w:contextualSpacing/>
        <w:jc w:val="both"/>
        <w:rPr>
          <w:sz w:val="16"/>
          <w:szCs w:val="16"/>
        </w:rPr>
      </w:pPr>
    </w:p>
    <w:p w:rsidR="00FD65F1" w:rsidRPr="00B87BBB" w:rsidRDefault="00FD65F1" w:rsidP="00FD65F1">
      <w:pPr>
        <w:spacing w:after="120"/>
        <w:contextualSpacing/>
        <w:jc w:val="both"/>
        <w:rPr>
          <w:sz w:val="24"/>
          <w:szCs w:val="24"/>
        </w:rPr>
      </w:pPr>
      <w:r w:rsidRPr="00B87BBB">
        <w:rPr>
          <w:sz w:val="24"/>
          <w:szCs w:val="24"/>
        </w:rPr>
        <w:t>Afin de mener à bien les consultations organisées pour le groupement, le coordonnateur est ainsi chargé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d'assister</w:t>
      </w:r>
      <w:proofErr w:type="gramEnd"/>
      <w:r w:rsidRPr="00B87BBB">
        <w:rPr>
          <w:rFonts w:ascii="Times New Roman" w:eastAsia="Arial" w:hAnsi="Times New Roman"/>
          <w:sz w:val="24"/>
          <w:szCs w:val="24"/>
          <w:lang w:val="fr-FR"/>
        </w:rPr>
        <w:t xml:space="preserve"> les membres dans la définition de leurs besoins et de centraliser ces besoins sur la base d'une définition préalable établie par lui en concertation avec les membres. À cette fin, le coordonnateur peut, en tant que de besoin, solliciter, au nom des membres et directement auprès des gestionnaires de réseaux et des fournisseurs d'énergie, l'ensemble des informations relatives aux différents points de livraison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définir l'organisation technique et administrative des procédures de consultation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d'assurer</w:t>
      </w:r>
      <w:proofErr w:type="gramEnd"/>
      <w:r w:rsidRPr="00B87BBB">
        <w:rPr>
          <w:rFonts w:ascii="Times New Roman" w:eastAsia="Arial" w:hAnsi="Times New Roman"/>
          <w:sz w:val="24"/>
          <w:szCs w:val="24"/>
          <w:lang w:val="fr-FR"/>
        </w:rPr>
        <w:t xml:space="preserve"> l'ensemble des opérations de sélection des cocontractants (publication des avis d'appel public à la concurrence et d'attribution, envoi des dossiers de consultation des entreprises, réception des offres, analyse des offres, rapport de présentation, convocation et réunion de la commission d'appel d'offres, etc.)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signer et notifier les marchés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transmettre aux membres les documents nécessaires à l'exécution des marchés en ce qui les concerne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d’informer</w:t>
      </w:r>
      <w:proofErr w:type="gramEnd"/>
      <w:r w:rsidRPr="00B87BBB">
        <w:rPr>
          <w:rFonts w:ascii="Times New Roman" w:eastAsia="Arial" w:hAnsi="Times New Roman"/>
          <w:sz w:val="24"/>
          <w:szCs w:val="24"/>
          <w:lang w:val="fr-FR"/>
        </w:rPr>
        <w:t xml:space="preserve"> les membres de la mise en œuvre de clauses d'ajustement et de révision des prix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transmettre les marchés aux autorités de contrôle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gérer les </w:t>
      </w:r>
      <w:proofErr w:type="spellStart"/>
      <w:r w:rsidRPr="00B87BBB">
        <w:rPr>
          <w:rFonts w:ascii="Times New Roman" w:eastAsia="Arial" w:hAnsi="Times New Roman"/>
          <w:sz w:val="24"/>
          <w:szCs w:val="24"/>
          <w:lang w:val="fr-FR"/>
        </w:rPr>
        <w:t>pré-contentieux</w:t>
      </w:r>
      <w:proofErr w:type="spellEnd"/>
      <w:r w:rsidRPr="00B87BBB">
        <w:rPr>
          <w:rFonts w:ascii="Times New Roman" w:eastAsia="Arial" w:hAnsi="Times New Roman"/>
          <w:sz w:val="24"/>
          <w:szCs w:val="24"/>
          <w:lang w:val="fr-FR"/>
        </w:rPr>
        <w:t xml:space="preserve"> et les contentieux formés par ou contre le groupement, à l'exception des litiges formés à titre individuel par un membre du groupement ;</w:t>
      </w:r>
    </w:p>
    <w:p w:rsidR="00FD65F1" w:rsidRPr="00B87BBB" w:rsidRDefault="00FD65F1" w:rsidP="002D0901">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de</w:t>
      </w:r>
      <w:proofErr w:type="gramEnd"/>
      <w:r w:rsidRPr="00B87BBB">
        <w:rPr>
          <w:rFonts w:ascii="Times New Roman" w:eastAsia="Arial" w:hAnsi="Times New Roman"/>
          <w:sz w:val="24"/>
          <w:szCs w:val="24"/>
          <w:lang w:val="fr-FR"/>
        </w:rPr>
        <w:t xml:space="preserve"> réaliser les avenants.</w:t>
      </w:r>
    </w:p>
    <w:p w:rsidR="00FD65F1" w:rsidRPr="00B87BBB" w:rsidRDefault="00FD65F1" w:rsidP="00FD65F1">
      <w:pPr>
        <w:tabs>
          <w:tab w:val="left" w:pos="10224"/>
        </w:tabs>
        <w:ind w:left="-600"/>
        <w:jc w:val="both"/>
        <w:rPr>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4.5 – Frais de fonctionnement du groupement</w:t>
      </w:r>
    </w:p>
    <w:p w:rsidR="00FD65F1" w:rsidRPr="00B87BBB" w:rsidRDefault="00FD65F1" w:rsidP="00FD65F1">
      <w:pPr>
        <w:tabs>
          <w:tab w:val="left" w:pos="10224"/>
        </w:tabs>
        <w:spacing w:after="120"/>
        <w:jc w:val="both"/>
        <w:rPr>
          <w:snapToGrid w:val="0"/>
          <w:sz w:val="24"/>
          <w:szCs w:val="24"/>
        </w:rPr>
      </w:pPr>
      <w:r w:rsidRPr="00B87BBB">
        <w:rPr>
          <w:snapToGrid w:val="0"/>
          <w:sz w:val="24"/>
          <w:szCs w:val="24"/>
        </w:rPr>
        <w:t>Le SDE76, en qualité de coordonnateur du groupement, assure le financement des frais matériels exposés par le groupement, notamment :</w:t>
      </w:r>
    </w:p>
    <w:p w:rsidR="00FD65F1" w:rsidRPr="00B87BBB" w:rsidRDefault="00FD65F1" w:rsidP="005C2EC3">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les</w:t>
      </w:r>
      <w:proofErr w:type="gramEnd"/>
      <w:r w:rsidRPr="00B87BBB">
        <w:rPr>
          <w:rFonts w:ascii="Times New Roman" w:eastAsia="Arial" w:hAnsi="Times New Roman"/>
          <w:sz w:val="24"/>
          <w:szCs w:val="24"/>
          <w:lang w:val="fr-FR"/>
        </w:rPr>
        <w:t xml:space="preserve"> frais relatifs à la publication des avis d’appel public à la concurrence et avis d’attribution,</w:t>
      </w:r>
    </w:p>
    <w:p w:rsidR="00FD65F1" w:rsidRPr="00B87BBB" w:rsidRDefault="00FD65F1" w:rsidP="005C2EC3">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les</w:t>
      </w:r>
      <w:proofErr w:type="gramEnd"/>
      <w:r w:rsidRPr="00B87BBB">
        <w:rPr>
          <w:rFonts w:ascii="Times New Roman" w:eastAsia="Arial" w:hAnsi="Times New Roman"/>
          <w:sz w:val="24"/>
          <w:szCs w:val="24"/>
          <w:lang w:val="fr-FR"/>
        </w:rPr>
        <w:t xml:space="preserve"> frais liés à la mise en ligne des pièces du marché,</w:t>
      </w:r>
    </w:p>
    <w:p w:rsidR="00FD65F1" w:rsidRPr="00B87BBB" w:rsidRDefault="00FD65F1" w:rsidP="005C2EC3">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les</w:t>
      </w:r>
      <w:proofErr w:type="gramEnd"/>
      <w:r w:rsidRPr="00B87BBB">
        <w:rPr>
          <w:rFonts w:ascii="Times New Roman" w:eastAsia="Arial" w:hAnsi="Times New Roman"/>
          <w:sz w:val="24"/>
          <w:szCs w:val="24"/>
          <w:lang w:val="fr-FR"/>
        </w:rPr>
        <w:t xml:space="preserve"> éventuels frais de reproduction et d’envoi des dossiers,</w:t>
      </w:r>
    </w:p>
    <w:p w:rsidR="00FD65F1" w:rsidRPr="00B87BBB" w:rsidRDefault="00FD65F1" w:rsidP="005C2EC3">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les</w:t>
      </w:r>
      <w:proofErr w:type="gramEnd"/>
      <w:r w:rsidRPr="00B87BBB">
        <w:rPr>
          <w:rFonts w:ascii="Times New Roman" w:eastAsia="Arial" w:hAnsi="Times New Roman"/>
          <w:sz w:val="24"/>
          <w:szCs w:val="24"/>
          <w:lang w:val="fr-FR"/>
        </w:rPr>
        <w:t xml:space="preserve"> frais de gestion administrative et financière des marchés.</w:t>
      </w:r>
    </w:p>
    <w:p w:rsidR="00FD65F1" w:rsidRPr="00B87BBB" w:rsidRDefault="00FD65F1" w:rsidP="00FD65F1">
      <w:pPr>
        <w:tabs>
          <w:tab w:val="left" w:pos="10224"/>
        </w:tabs>
        <w:jc w:val="both"/>
        <w:rPr>
          <w:snapToGrid w:val="0"/>
          <w:sz w:val="16"/>
          <w:szCs w:val="16"/>
        </w:rPr>
      </w:pPr>
    </w:p>
    <w:p w:rsidR="002D0901" w:rsidRPr="00B87BBB" w:rsidRDefault="002D0901" w:rsidP="00FD65F1">
      <w:pPr>
        <w:tabs>
          <w:tab w:val="left" w:pos="10224"/>
        </w:tabs>
        <w:spacing w:after="120"/>
        <w:jc w:val="both"/>
        <w:rPr>
          <w:snapToGrid w:val="0"/>
          <w:sz w:val="24"/>
          <w:szCs w:val="24"/>
        </w:rPr>
      </w:pPr>
    </w:p>
    <w:p w:rsidR="00FD65F1" w:rsidRPr="00B87BBB" w:rsidRDefault="00FD65F1" w:rsidP="00FD65F1">
      <w:pPr>
        <w:tabs>
          <w:tab w:val="left" w:pos="10224"/>
        </w:tabs>
        <w:spacing w:after="120"/>
        <w:jc w:val="both"/>
        <w:rPr>
          <w:snapToGrid w:val="0"/>
          <w:sz w:val="24"/>
          <w:szCs w:val="24"/>
        </w:rPr>
      </w:pPr>
      <w:r w:rsidRPr="00B87BBB">
        <w:rPr>
          <w:snapToGrid w:val="0"/>
          <w:sz w:val="24"/>
          <w:szCs w:val="24"/>
        </w:rPr>
        <w:t>Au vu des bénéfices économiques et de la meilleure coordination administrative et technique qu’offre le groupement de commandes, cette prestation est assurée :</w:t>
      </w:r>
    </w:p>
    <w:p w:rsidR="005F41FC" w:rsidRPr="00B87BBB" w:rsidRDefault="00FD65F1" w:rsidP="00063353">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à</w:t>
      </w:r>
      <w:proofErr w:type="gramEnd"/>
      <w:r w:rsidRPr="00B87BBB">
        <w:rPr>
          <w:rFonts w:ascii="Times New Roman" w:eastAsia="Arial" w:hAnsi="Times New Roman"/>
          <w:sz w:val="24"/>
          <w:szCs w:val="24"/>
          <w:lang w:val="fr-FR"/>
        </w:rPr>
        <w:t xml:space="preserve"> </w:t>
      </w:r>
      <w:r w:rsidRPr="00B87BBB">
        <w:rPr>
          <w:rFonts w:ascii="Times New Roman" w:eastAsia="Arial" w:hAnsi="Times New Roman"/>
          <w:b/>
          <w:sz w:val="24"/>
          <w:szCs w:val="24"/>
          <w:u w:val="single"/>
          <w:lang w:val="fr-FR"/>
        </w:rPr>
        <w:t>titre gratuit pour tous les membres du SDE76</w:t>
      </w:r>
      <w:r w:rsidRPr="00B87BBB">
        <w:rPr>
          <w:rFonts w:ascii="Times New Roman" w:eastAsia="Arial" w:hAnsi="Times New Roman"/>
          <w:sz w:val="24"/>
          <w:szCs w:val="24"/>
          <w:lang w:val="fr-FR"/>
        </w:rPr>
        <w:t xml:space="preserve"> soit les </w:t>
      </w:r>
      <w:r w:rsidR="005F41FC" w:rsidRPr="00B87BBB">
        <w:rPr>
          <w:rFonts w:ascii="Times New Roman" w:eastAsia="Arial" w:hAnsi="Times New Roman"/>
          <w:sz w:val="24"/>
          <w:szCs w:val="24"/>
          <w:lang w:val="fr-FR"/>
        </w:rPr>
        <w:t>631</w:t>
      </w:r>
      <w:r w:rsidRPr="00B87BBB">
        <w:rPr>
          <w:rFonts w:ascii="Times New Roman" w:eastAsia="Arial" w:hAnsi="Times New Roman"/>
          <w:sz w:val="24"/>
          <w:szCs w:val="24"/>
          <w:lang w:val="fr-FR"/>
        </w:rPr>
        <w:t xml:space="preserve"> commun</w:t>
      </w:r>
      <w:r w:rsidR="005F41FC" w:rsidRPr="00B87BBB">
        <w:rPr>
          <w:rFonts w:ascii="Times New Roman" w:eastAsia="Arial" w:hAnsi="Times New Roman"/>
          <w:sz w:val="24"/>
          <w:szCs w:val="24"/>
          <w:lang w:val="fr-FR"/>
        </w:rPr>
        <w:t>es et/ou communes nouvelles</w:t>
      </w:r>
      <w:r w:rsidR="002D5F3B" w:rsidRPr="00B87BBB">
        <w:rPr>
          <w:rFonts w:ascii="Times New Roman" w:eastAsia="Arial" w:hAnsi="Times New Roman"/>
          <w:sz w:val="24"/>
          <w:szCs w:val="24"/>
          <w:lang w:val="fr-FR"/>
        </w:rPr>
        <w:t xml:space="preserve"> et</w:t>
      </w:r>
      <w:r w:rsidR="005F41FC" w:rsidRPr="00B87BBB">
        <w:rPr>
          <w:rFonts w:ascii="Times New Roman" w:eastAsia="Arial" w:hAnsi="Times New Roman"/>
          <w:sz w:val="24"/>
          <w:szCs w:val="24"/>
          <w:lang w:val="fr-FR"/>
        </w:rPr>
        <w:t xml:space="preserve"> la communauté</w:t>
      </w:r>
      <w:r w:rsidRPr="00B87BBB">
        <w:rPr>
          <w:rFonts w:ascii="Times New Roman" w:eastAsia="Arial" w:hAnsi="Times New Roman"/>
          <w:sz w:val="24"/>
          <w:szCs w:val="24"/>
          <w:lang w:val="fr-FR"/>
        </w:rPr>
        <w:t xml:space="preserve"> de communes de la Côte d’Albâtre</w:t>
      </w:r>
      <w:r w:rsidR="002D5F3B" w:rsidRPr="00B87BBB">
        <w:rPr>
          <w:rFonts w:ascii="Times New Roman" w:eastAsia="Arial" w:hAnsi="Times New Roman"/>
          <w:sz w:val="24"/>
          <w:szCs w:val="24"/>
          <w:lang w:val="fr-FR"/>
        </w:rPr>
        <w:t> ;</w:t>
      </w:r>
    </w:p>
    <w:p w:rsidR="00FD65F1" w:rsidRPr="00B87BBB" w:rsidRDefault="00FD65F1" w:rsidP="00063353">
      <w:pPr>
        <w:pStyle w:val="Paragraphedeliste"/>
        <w:numPr>
          <w:ilvl w:val="0"/>
          <w:numId w:val="15"/>
        </w:numPr>
        <w:tabs>
          <w:tab w:val="left" w:pos="709"/>
        </w:tabs>
        <w:spacing w:after="120" w:line="240" w:lineRule="auto"/>
        <w:ind w:left="709" w:hanging="357"/>
        <w:contextualSpacing w:val="0"/>
        <w:jc w:val="both"/>
        <w:rPr>
          <w:rFonts w:ascii="Times New Roman" w:eastAsia="Arial" w:hAnsi="Times New Roman"/>
          <w:sz w:val="24"/>
          <w:szCs w:val="24"/>
          <w:lang w:val="fr-FR"/>
        </w:rPr>
      </w:pPr>
      <w:proofErr w:type="gramStart"/>
      <w:r w:rsidRPr="00B87BBB">
        <w:rPr>
          <w:rFonts w:ascii="Times New Roman" w:eastAsia="Arial" w:hAnsi="Times New Roman"/>
          <w:sz w:val="24"/>
          <w:szCs w:val="24"/>
          <w:lang w:val="fr-FR"/>
        </w:rPr>
        <w:t>moyennant</w:t>
      </w:r>
      <w:proofErr w:type="gramEnd"/>
      <w:r w:rsidRPr="00B87BBB">
        <w:rPr>
          <w:rFonts w:ascii="Times New Roman" w:eastAsia="Arial" w:hAnsi="Times New Roman"/>
          <w:sz w:val="24"/>
          <w:szCs w:val="24"/>
          <w:lang w:val="fr-FR"/>
        </w:rPr>
        <w:t xml:space="preserve"> une participation financière </w:t>
      </w:r>
      <w:r w:rsidR="00265EDF" w:rsidRPr="00B87BBB">
        <w:rPr>
          <w:rFonts w:ascii="Times New Roman" w:eastAsia="Arial" w:hAnsi="Times New Roman"/>
          <w:sz w:val="24"/>
          <w:szCs w:val="24"/>
          <w:lang w:val="fr-FR"/>
        </w:rPr>
        <w:t>demandée à chaque accord-cadre</w:t>
      </w:r>
      <w:r w:rsidR="00874435" w:rsidRPr="00B87BBB">
        <w:rPr>
          <w:rFonts w:ascii="Times New Roman" w:eastAsia="Arial" w:hAnsi="Times New Roman"/>
          <w:sz w:val="24"/>
          <w:szCs w:val="24"/>
          <w:lang w:val="fr-FR"/>
        </w:rPr>
        <w:t>, soit tous les quatre ans,</w:t>
      </w:r>
      <w:r w:rsidR="00265EDF" w:rsidRPr="00B87BBB">
        <w:rPr>
          <w:rFonts w:ascii="Times New Roman" w:eastAsia="Arial" w:hAnsi="Times New Roman"/>
          <w:sz w:val="24"/>
          <w:szCs w:val="24"/>
          <w:lang w:val="fr-FR"/>
        </w:rPr>
        <w:t xml:space="preserve"> </w:t>
      </w:r>
      <w:r w:rsidRPr="00B87BBB">
        <w:rPr>
          <w:rFonts w:ascii="Times New Roman" w:eastAsia="Arial" w:hAnsi="Times New Roman"/>
          <w:sz w:val="24"/>
          <w:szCs w:val="24"/>
          <w:lang w:val="fr-FR"/>
        </w:rPr>
        <w:t xml:space="preserve">pour </w:t>
      </w:r>
      <w:r w:rsidR="005F41FC" w:rsidRPr="00B87BBB">
        <w:rPr>
          <w:rFonts w:ascii="Times New Roman" w:eastAsia="Arial" w:hAnsi="Times New Roman"/>
          <w:sz w:val="24"/>
          <w:szCs w:val="24"/>
          <w:lang w:val="fr-FR"/>
        </w:rPr>
        <w:t>l</w:t>
      </w:r>
      <w:r w:rsidRPr="00B87BBB">
        <w:rPr>
          <w:rFonts w:ascii="Times New Roman" w:eastAsia="Arial" w:hAnsi="Times New Roman"/>
          <w:sz w:val="24"/>
          <w:szCs w:val="24"/>
          <w:lang w:val="fr-FR"/>
        </w:rPr>
        <w:t xml:space="preserve">es </w:t>
      </w:r>
      <w:r w:rsidR="00874435" w:rsidRPr="00B87BBB">
        <w:rPr>
          <w:rFonts w:ascii="Times New Roman" w:eastAsia="Arial" w:hAnsi="Times New Roman"/>
          <w:sz w:val="24"/>
          <w:szCs w:val="24"/>
          <w:lang w:val="fr-FR"/>
        </w:rPr>
        <w:t>membres</w:t>
      </w:r>
      <w:r w:rsidRPr="00B87BBB">
        <w:rPr>
          <w:rFonts w:ascii="Times New Roman" w:eastAsia="Arial" w:hAnsi="Times New Roman"/>
          <w:sz w:val="24"/>
          <w:szCs w:val="24"/>
          <w:lang w:val="fr-FR"/>
        </w:rPr>
        <w:t xml:space="preserve"> non-adhérents au SDE76 selon la grille tarifaire ci-dessous : </w:t>
      </w:r>
    </w:p>
    <w:p w:rsidR="00FD65F1" w:rsidRPr="00B87BBB" w:rsidRDefault="00FD65F1" w:rsidP="00FD65F1">
      <w:pPr>
        <w:numPr>
          <w:ilvl w:val="0"/>
          <w:numId w:val="18"/>
        </w:numPr>
        <w:ind w:left="1077" w:hanging="357"/>
        <w:jc w:val="both"/>
        <w:rPr>
          <w:snapToGrid w:val="0"/>
          <w:sz w:val="24"/>
          <w:szCs w:val="24"/>
        </w:rPr>
      </w:pPr>
      <w:proofErr w:type="gramStart"/>
      <w:r w:rsidRPr="00B87BBB">
        <w:rPr>
          <w:snapToGrid w:val="0"/>
          <w:sz w:val="24"/>
          <w:szCs w:val="24"/>
        </w:rPr>
        <w:t>collectivité</w:t>
      </w:r>
      <w:proofErr w:type="gramEnd"/>
      <w:r w:rsidRPr="00B87BBB">
        <w:rPr>
          <w:snapToGrid w:val="0"/>
          <w:sz w:val="24"/>
          <w:szCs w:val="24"/>
        </w:rPr>
        <w:t xml:space="preserve"> inférieure à 1 000 habitants </w:t>
      </w:r>
      <w:r w:rsidRPr="00B87BBB">
        <w:rPr>
          <w:snapToGrid w:val="0"/>
          <w:sz w:val="24"/>
          <w:szCs w:val="24"/>
        </w:rPr>
        <w:tab/>
      </w:r>
      <w:r w:rsidRPr="00B87BBB">
        <w:rPr>
          <w:snapToGrid w:val="0"/>
          <w:sz w:val="24"/>
          <w:szCs w:val="24"/>
        </w:rPr>
        <w:tab/>
      </w:r>
      <w:r w:rsidR="002D0901" w:rsidRPr="00B87BBB">
        <w:rPr>
          <w:snapToGrid w:val="0"/>
          <w:sz w:val="24"/>
          <w:szCs w:val="24"/>
        </w:rPr>
        <w:tab/>
      </w:r>
      <w:r w:rsidR="002D0901" w:rsidRPr="00B87BBB">
        <w:rPr>
          <w:snapToGrid w:val="0"/>
          <w:sz w:val="24"/>
          <w:szCs w:val="24"/>
        </w:rPr>
        <w:tab/>
      </w:r>
      <w:r w:rsidRPr="00B87BBB">
        <w:rPr>
          <w:snapToGrid w:val="0"/>
          <w:sz w:val="24"/>
          <w:szCs w:val="24"/>
        </w:rPr>
        <w:t>30 €</w:t>
      </w:r>
    </w:p>
    <w:p w:rsidR="00FD65F1" w:rsidRPr="00B87BBB" w:rsidRDefault="00FD65F1" w:rsidP="00FD65F1">
      <w:pPr>
        <w:numPr>
          <w:ilvl w:val="0"/>
          <w:numId w:val="18"/>
        </w:numPr>
        <w:ind w:left="1077" w:hanging="357"/>
        <w:jc w:val="both"/>
        <w:rPr>
          <w:snapToGrid w:val="0"/>
          <w:sz w:val="24"/>
          <w:szCs w:val="24"/>
        </w:rPr>
      </w:pPr>
      <w:proofErr w:type="gramStart"/>
      <w:r w:rsidRPr="00B87BBB">
        <w:rPr>
          <w:snapToGrid w:val="0"/>
          <w:sz w:val="24"/>
          <w:szCs w:val="24"/>
        </w:rPr>
        <w:t>collectivité</w:t>
      </w:r>
      <w:proofErr w:type="gramEnd"/>
      <w:r w:rsidRPr="00B87BBB">
        <w:rPr>
          <w:snapToGrid w:val="0"/>
          <w:sz w:val="24"/>
          <w:szCs w:val="24"/>
        </w:rPr>
        <w:t xml:space="preserve"> de 1 000 à 10 000 habitants</w:t>
      </w:r>
      <w:r w:rsidRPr="00B87BBB">
        <w:rPr>
          <w:snapToGrid w:val="0"/>
          <w:sz w:val="24"/>
          <w:szCs w:val="24"/>
        </w:rPr>
        <w:tab/>
      </w:r>
      <w:r w:rsidRPr="00B87BBB">
        <w:rPr>
          <w:snapToGrid w:val="0"/>
          <w:sz w:val="24"/>
          <w:szCs w:val="24"/>
        </w:rPr>
        <w:tab/>
      </w:r>
      <w:r w:rsidR="002D0901" w:rsidRPr="00B87BBB">
        <w:rPr>
          <w:snapToGrid w:val="0"/>
          <w:sz w:val="24"/>
          <w:szCs w:val="24"/>
        </w:rPr>
        <w:tab/>
      </w:r>
      <w:r w:rsidR="002D0901" w:rsidRPr="00B87BBB">
        <w:rPr>
          <w:snapToGrid w:val="0"/>
          <w:sz w:val="24"/>
          <w:szCs w:val="24"/>
        </w:rPr>
        <w:tab/>
      </w:r>
      <w:r w:rsidRPr="00B87BBB">
        <w:rPr>
          <w:snapToGrid w:val="0"/>
          <w:sz w:val="24"/>
          <w:szCs w:val="24"/>
        </w:rPr>
        <w:t>60 €</w:t>
      </w:r>
    </w:p>
    <w:p w:rsidR="00FD65F1" w:rsidRPr="00B87BBB" w:rsidRDefault="00FD65F1" w:rsidP="00FD65F1">
      <w:pPr>
        <w:numPr>
          <w:ilvl w:val="0"/>
          <w:numId w:val="18"/>
        </w:numPr>
        <w:ind w:left="1077" w:hanging="357"/>
        <w:jc w:val="both"/>
        <w:rPr>
          <w:snapToGrid w:val="0"/>
          <w:sz w:val="24"/>
          <w:szCs w:val="24"/>
        </w:rPr>
      </w:pPr>
      <w:proofErr w:type="gramStart"/>
      <w:r w:rsidRPr="00B87BBB">
        <w:rPr>
          <w:snapToGrid w:val="0"/>
          <w:sz w:val="24"/>
          <w:szCs w:val="24"/>
        </w:rPr>
        <w:lastRenderedPageBreak/>
        <w:t>collectivité</w:t>
      </w:r>
      <w:proofErr w:type="gramEnd"/>
      <w:r w:rsidRPr="00B87BBB">
        <w:rPr>
          <w:snapToGrid w:val="0"/>
          <w:sz w:val="24"/>
          <w:szCs w:val="24"/>
        </w:rPr>
        <w:t xml:space="preserve"> supérieure à 10 000 habitants</w:t>
      </w:r>
      <w:r w:rsidRPr="00B87BBB">
        <w:rPr>
          <w:snapToGrid w:val="0"/>
          <w:sz w:val="24"/>
          <w:szCs w:val="24"/>
        </w:rPr>
        <w:tab/>
      </w:r>
      <w:r w:rsidR="002D0901" w:rsidRPr="00B87BBB">
        <w:rPr>
          <w:snapToGrid w:val="0"/>
          <w:sz w:val="24"/>
          <w:szCs w:val="24"/>
        </w:rPr>
        <w:tab/>
      </w:r>
      <w:r w:rsidR="002D0901" w:rsidRPr="00B87BBB">
        <w:rPr>
          <w:snapToGrid w:val="0"/>
          <w:sz w:val="24"/>
          <w:szCs w:val="24"/>
        </w:rPr>
        <w:tab/>
      </w:r>
      <w:r w:rsidRPr="00B87BBB">
        <w:rPr>
          <w:snapToGrid w:val="0"/>
          <w:sz w:val="24"/>
          <w:szCs w:val="24"/>
        </w:rPr>
        <w:t>120 €</w:t>
      </w:r>
    </w:p>
    <w:p w:rsidR="00E40B06" w:rsidRPr="00B87BBB" w:rsidRDefault="005C2EC3" w:rsidP="00FD65F1">
      <w:pPr>
        <w:numPr>
          <w:ilvl w:val="0"/>
          <w:numId w:val="18"/>
        </w:numPr>
        <w:ind w:left="1077" w:hanging="357"/>
        <w:jc w:val="both"/>
        <w:rPr>
          <w:snapToGrid w:val="0"/>
          <w:sz w:val="24"/>
          <w:szCs w:val="24"/>
        </w:rPr>
      </w:pPr>
      <w:r w:rsidRPr="00B87BBB">
        <w:rPr>
          <w:snapToGrid w:val="0"/>
          <w:sz w:val="24"/>
          <w:szCs w:val="24"/>
        </w:rPr>
        <w:t xml:space="preserve">Département de Seine-Maritime </w:t>
      </w:r>
      <w:r w:rsidR="00C550F6" w:rsidRPr="00B87BBB">
        <w:rPr>
          <w:snapToGrid w:val="0"/>
          <w:sz w:val="24"/>
          <w:szCs w:val="24"/>
        </w:rPr>
        <w:t xml:space="preserve">et ses </w:t>
      </w:r>
      <w:r w:rsidR="00E40B06" w:rsidRPr="00B87BBB">
        <w:rPr>
          <w:snapToGrid w:val="0"/>
          <w:sz w:val="24"/>
          <w:szCs w:val="24"/>
        </w:rPr>
        <w:t>établissements publics locaux</w:t>
      </w:r>
      <w:r w:rsidR="002D0901" w:rsidRPr="00B87BBB">
        <w:rPr>
          <w:snapToGrid w:val="0"/>
          <w:sz w:val="24"/>
          <w:szCs w:val="24"/>
        </w:rPr>
        <w:t xml:space="preserve"> d’enseignement (EPLE) : </w:t>
      </w:r>
      <w:r w:rsidR="002D0901" w:rsidRPr="00B87BBB">
        <w:rPr>
          <w:snapToGrid w:val="0"/>
          <w:sz w:val="24"/>
          <w:szCs w:val="24"/>
        </w:rPr>
        <w:tab/>
      </w:r>
      <w:r w:rsidR="00CB3296" w:rsidRPr="00B87BBB">
        <w:rPr>
          <w:snapToGrid w:val="0"/>
          <w:sz w:val="24"/>
          <w:szCs w:val="24"/>
        </w:rPr>
        <w:t>gratuit</w:t>
      </w:r>
    </w:p>
    <w:p w:rsidR="00FD65F1" w:rsidRPr="00B87BBB" w:rsidRDefault="00FD65F1" w:rsidP="00FD65F1">
      <w:pPr>
        <w:numPr>
          <w:ilvl w:val="0"/>
          <w:numId w:val="18"/>
        </w:numPr>
        <w:ind w:left="1077" w:hanging="357"/>
        <w:jc w:val="both"/>
        <w:rPr>
          <w:snapToGrid w:val="0"/>
          <w:sz w:val="24"/>
          <w:szCs w:val="24"/>
        </w:rPr>
      </w:pPr>
      <w:proofErr w:type="gramStart"/>
      <w:r w:rsidRPr="00B87BBB">
        <w:rPr>
          <w:snapToGrid w:val="0"/>
          <w:sz w:val="24"/>
          <w:szCs w:val="24"/>
        </w:rPr>
        <w:t>autres</w:t>
      </w:r>
      <w:proofErr w:type="gramEnd"/>
      <w:r w:rsidRPr="00B87BBB">
        <w:rPr>
          <w:snapToGrid w:val="0"/>
          <w:sz w:val="24"/>
          <w:szCs w:val="24"/>
        </w:rPr>
        <w:t xml:space="preserve"> membres et Métropole </w:t>
      </w:r>
      <w:r w:rsidRPr="00B87BBB">
        <w:rPr>
          <w:snapToGrid w:val="0"/>
          <w:sz w:val="24"/>
          <w:szCs w:val="24"/>
        </w:rPr>
        <w:tab/>
      </w:r>
      <w:r w:rsidRPr="00B87BBB">
        <w:rPr>
          <w:snapToGrid w:val="0"/>
          <w:sz w:val="24"/>
          <w:szCs w:val="24"/>
        </w:rPr>
        <w:tab/>
      </w:r>
      <w:r w:rsidRPr="00B87BBB">
        <w:rPr>
          <w:snapToGrid w:val="0"/>
          <w:sz w:val="24"/>
          <w:szCs w:val="24"/>
        </w:rPr>
        <w:tab/>
      </w:r>
      <w:r w:rsidR="002D0901" w:rsidRPr="00B87BBB">
        <w:rPr>
          <w:snapToGrid w:val="0"/>
          <w:sz w:val="24"/>
          <w:szCs w:val="24"/>
        </w:rPr>
        <w:tab/>
      </w:r>
      <w:r w:rsidR="002D0901" w:rsidRPr="00B87BBB">
        <w:rPr>
          <w:snapToGrid w:val="0"/>
          <w:sz w:val="24"/>
          <w:szCs w:val="24"/>
        </w:rPr>
        <w:tab/>
      </w:r>
      <w:r w:rsidRPr="00B87BBB">
        <w:rPr>
          <w:snapToGrid w:val="0"/>
          <w:sz w:val="24"/>
          <w:szCs w:val="24"/>
        </w:rPr>
        <w:t>120 €</w:t>
      </w:r>
    </w:p>
    <w:p w:rsidR="005C2EC3" w:rsidRPr="00B87BBB" w:rsidRDefault="005C2EC3" w:rsidP="00992B47">
      <w:pPr>
        <w:tabs>
          <w:tab w:val="left" w:pos="10224"/>
        </w:tabs>
        <w:spacing w:after="120"/>
        <w:ind w:left="714"/>
        <w:jc w:val="both"/>
        <w:rPr>
          <w:snapToGrid w:val="0"/>
          <w:sz w:val="24"/>
          <w:szCs w:val="24"/>
        </w:rPr>
      </w:pPr>
    </w:p>
    <w:p w:rsidR="002D0901" w:rsidRPr="00B87BBB" w:rsidRDefault="002D0901" w:rsidP="00FD65F1">
      <w:pPr>
        <w:tabs>
          <w:tab w:val="left" w:pos="10224"/>
        </w:tabs>
        <w:jc w:val="both"/>
        <w:rPr>
          <w:snapToGrid w:val="0"/>
          <w:sz w:val="24"/>
          <w:szCs w:val="24"/>
        </w:rPr>
      </w:pPr>
    </w:p>
    <w:p w:rsidR="00FD65F1" w:rsidRPr="00B87BBB" w:rsidRDefault="00FD65F1" w:rsidP="00FD65F1">
      <w:pPr>
        <w:tabs>
          <w:tab w:val="left" w:pos="10224"/>
        </w:tabs>
        <w:rPr>
          <w:b/>
          <w:snapToGrid w:val="0"/>
          <w:sz w:val="24"/>
          <w:szCs w:val="24"/>
          <w:u w:val="single"/>
        </w:rPr>
      </w:pPr>
      <w:r w:rsidRPr="00B87BBB">
        <w:rPr>
          <w:b/>
          <w:snapToGrid w:val="0"/>
          <w:sz w:val="24"/>
          <w:szCs w:val="24"/>
          <w:u w:val="single"/>
        </w:rPr>
        <w:t xml:space="preserve">ARTICLE 5 </w:t>
      </w:r>
      <w:r w:rsidRPr="00B87BBB">
        <w:rPr>
          <w:b/>
          <w:snapToGrid w:val="0"/>
          <w:sz w:val="24"/>
          <w:szCs w:val="24"/>
        </w:rPr>
        <w:t xml:space="preserve">– </w:t>
      </w:r>
      <w:r w:rsidRPr="00B87BBB">
        <w:rPr>
          <w:b/>
          <w:snapToGrid w:val="0"/>
          <w:sz w:val="24"/>
          <w:szCs w:val="24"/>
          <w:u w:val="single"/>
        </w:rPr>
        <w:t>DEROULEMENT DE LA PROCEDURE DE CONSULTATION</w:t>
      </w:r>
    </w:p>
    <w:p w:rsidR="002D0901" w:rsidRPr="00B87BBB" w:rsidRDefault="002D0901" w:rsidP="00FD65F1">
      <w:pPr>
        <w:tabs>
          <w:tab w:val="left" w:pos="10224"/>
        </w:tabs>
        <w:rPr>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5.1 – Etablissement du dossier de consultation</w:t>
      </w:r>
    </w:p>
    <w:p w:rsidR="00FD65F1" w:rsidRPr="00B87BBB" w:rsidRDefault="00FD65F1" w:rsidP="00FD65F1">
      <w:pPr>
        <w:tabs>
          <w:tab w:val="left" w:pos="10224"/>
        </w:tabs>
        <w:jc w:val="both"/>
        <w:rPr>
          <w:snapToGrid w:val="0"/>
          <w:sz w:val="24"/>
          <w:szCs w:val="24"/>
        </w:rPr>
      </w:pPr>
      <w:r w:rsidRPr="00B87BBB">
        <w:rPr>
          <w:snapToGrid w:val="0"/>
          <w:sz w:val="24"/>
          <w:szCs w:val="24"/>
        </w:rPr>
        <w:t xml:space="preserve">La rédaction des pièces </w:t>
      </w:r>
      <w:r w:rsidR="002D0901" w:rsidRPr="00B87BBB">
        <w:rPr>
          <w:snapToGrid w:val="0"/>
          <w:sz w:val="24"/>
          <w:szCs w:val="24"/>
        </w:rPr>
        <w:t>des marchés publics</w:t>
      </w:r>
      <w:r w:rsidR="00DC5AE6" w:rsidRPr="00B87BBB">
        <w:rPr>
          <w:snapToGrid w:val="0"/>
          <w:sz w:val="24"/>
          <w:szCs w:val="24"/>
        </w:rPr>
        <w:t>,</w:t>
      </w:r>
      <w:r w:rsidR="002D0901" w:rsidRPr="00B87BBB">
        <w:rPr>
          <w:snapToGrid w:val="0"/>
          <w:sz w:val="24"/>
          <w:szCs w:val="24"/>
        </w:rPr>
        <w:t xml:space="preserve"> ou accords-cadres </w:t>
      </w:r>
      <w:r w:rsidR="00DC5AE6" w:rsidRPr="00B87BBB">
        <w:rPr>
          <w:snapToGrid w:val="0"/>
          <w:sz w:val="24"/>
          <w:szCs w:val="24"/>
        </w:rPr>
        <w:t xml:space="preserve">et marchés subséquents </w:t>
      </w:r>
      <w:r w:rsidR="002D0901" w:rsidRPr="00B87BBB">
        <w:rPr>
          <w:snapToGrid w:val="0"/>
          <w:sz w:val="24"/>
          <w:szCs w:val="24"/>
        </w:rPr>
        <w:t>conclus pour répondre aux besoins des membres du groupement</w:t>
      </w:r>
      <w:r w:rsidRPr="00B87BBB">
        <w:rPr>
          <w:snapToGrid w:val="0"/>
          <w:sz w:val="24"/>
          <w:szCs w:val="24"/>
        </w:rPr>
        <w:t xml:space="preserve"> sera réalisée par le SDE76. Chaque membre du groupement transmettra au coordonnateur toutes les informations nécessaires pour la préparation du dossier de consultation.</w:t>
      </w:r>
    </w:p>
    <w:p w:rsidR="00FD65F1" w:rsidRPr="00B87BBB" w:rsidRDefault="00FD65F1" w:rsidP="00FD65F1">
      <w:pPr>
        <w:tabs>
          <w:tab w:val="left" w:pos="10224"/>
        </w:tabs>
        <w:rPr>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5.2 – Procédure choisie</w:t>
      </w:r>
    </w:p>
    <w:p w:rsidR="00FD65F1" w:rsidRPr="00B87BBB" w:rsidRDefault="00FD65F1" w:rsidP="00FD65F1">
      <w:pPr>
        <w:tabs>
          <w:tab w:val="left" w:pos="10224"/>
        </w:tabs>
        <w:spacing w:after="120"/>
        <w:jc w:val="both"/>
        <w:rPr>
          <w:snapToGrid w:val="0"/>
          <w:sz w:val="24"/>
          <w:szCs w:val="24"/>
        </w:rPr>
      </w:pPr>
      <w:r w:rsidRPr="00B87BBB">
        <w:rPr>
          <w:snapToGrid w:val="0"/>
          <w:sz w:val="24"/>
          <w:szCs w:val="24"/>
        </w:rPr>
        <w:t>L</w:t>
      </w:r>
      <w:r w:rsidR="00231C96" w:rsidRPr="00B87BBB">
        <w:rPr>
          <w:snapToGrid w:val="0"/>
          <w:sz w:val="24"/>
          <w:szCs w:val="24"/>
        </w:rPr>
        <w:t>es</w:t>
      </w:r>
      <w:r w:rsidRPr="00B87BBB">
        <w:rPr>
          <w:snapToGrid w:val="0"/>
          <w:sz w:val="24"/>
          <w:szCs w:val="24"/>
        </w:rPr>
        <w:t xml:space="preserve"> consultation</w:t>
      </w:r>
      <w:r w:rsidR="00231C96" w:rsidRPr="00B87BBB">
        <w:rPr>
          <w:snapToGrid w:val="0"/>
          <w:sz w:val="24"/>
          <w:szCs w:val="24"/>
        </w:rPr>
        <w:t>s successives</w:t>
      </w:r>
      <w:r w:rsidRPr="00B87BBB">
        <w:rPr>
          <w:snapToGrid w:val="0"/>
          <w:sz w:val="24"/>
          <w:szCs w:val="24"/>
        </w:rPr>
        <w:t xml:space="preserve"> a</w:t>
      </w:r>
      <w:r w:rsidR="002D0901" w:rsidRPr="00B87BBB">
        <w:rPr>
          <w:snapToGrid w:val="0"/>
          <w:sz w:val="24"/>
          <w:szCs w:val="24"/>
        </w:rPr>
        <w:t>ur</w:t>
      </w:r>
      <w:r w:rsidR="00231C96" w:rsidRPr="00B87BBB">
        <w:rPr>
          <w:snapToGrid w:val="0"/>
          <w:sz w:val="24"/>
          <w:szCs w:val="24"/>
        </w:rPr>
        <w:t>ont</w:t>
      </w:r>
      <w:r w:rsidRPr="00B87BBB">
        <w:rPr>
          <w:snapToGrid w:val="0"/>
          <w:sz w:val="24"/>
          <w:szCs w:val="24"/>
        </w:rPr>
        <w:t xml:space="preserve"> pour objet la mise en place </w:t>
      </w:r>
      <w:r w:rsidR="002D0901" w:rsidRPr="00B87BBB">
        <w:rPr>
          <w:snapToGrid w:val="0"/>
          <w:sz w:val="24"/>
          <w:szCs w:val="24"/>
        </w:rPr>
        <w:t xml:space="preserve">de marchés publics ou </w:t>
      </w:r>
      <w:r w:rsidR="00231C96" w:rsidRPr="00B87BBB">
        <w:rPr>
          <w:snapToGrid w:val="0"/>
          <w:sz w:val="24"/>
          <w:szCs w:val="24"/>
        </w:rPr>
        <w:t>d’</w:t>
      </w:r>
      <w:r w:rsidR="002D0901" w:rsidRPr="00B87BBB">
        <w:rPr>
          <w:snapToGrid w:val="0"/>
          <w:sz w:val="24"/>
          <w:szCs w:val="24"/>
        </w:rPr>
        <w:t>accords-cadres</w:t>
      </w:r>
      <w:r w:rsidR="0041563A" w:rsidRPr="00B87BBB">
        <w:rPr>
          <w:snapToGrid w:val="0"/>
          <w:sz w:val="24"/>
          <w:szCs w:val="24"/>
        </w:rPr>
        <w:t xml:space="preserve"> </w:t>
      </w:r>
      <w:r w:rsidR="00231C96" w:rsidRPr="00B87BBB">
        <w:rPr>
          <w:snapToGrid w:val="0"/>
          <w:sz w:val="24"/>
          <w:szCs w:val="24"/>
        </w:rPr>
        <w:t>suivi de</w:t>
      </w:r>
      <w:r w:rsidR="0041563A" w:rsidRPr="00B87BBB">
        <w:rPr>
          <w:snapToGrid w:val="0"/>
          <w:sz w:val="24"/>
          <w:szCs w:val="24"/>
        </w:rPr>
        <w:t xml:space="preserve"> marchés subséquents</w:t>
      </w:r>
      <w:r w:rsidR="00231C96" w:rsidRPr="00B87BBB">
        <w:rPr>
          <w:snapToGrid w:val="0"/>
          <w:sz w:val="24"/>
          <w:szCs w:val="24"/>
        </w:rPr>
        <w:t>. Chaque consultation comprendra</w:t>
      </w:r>
      <w:r w:rsidRPr="00B87BBB">
        <w:rPr>
          <w:snapToGrid w:val="0"/>
          <w:sz w:val="24"/>
          <w:szCs w:val="24"/>
        </w:rPr>
        <w:t xml:space="preserve"> : </w:t>
      </w:r>
    </w:p>
    <w:p w:rsidR="00FD65F1" w:rsidRPr="00B87BBB" w:rsidRDefault="00FD65F1" w:rsidP="00FD65F1">
      <w:pPr>
        <w:numPr>
          <w:ilvl w:val="0"/>
          <w:numId w:val="17"/>
        </w:numPr>
        <w:ind w:left="357" w:hanging="357"/>
        <w:jc w:val="both"/>
        <w:rPr>
          <w:snapToGrid w:val="0"/>
          <w:sz w:val="24"/>
          <w:szCs w:val="24"/>
        </w:rPr>
      </w:pPr>
      <w:proofErr w:type="gramStart"/>
      <w:r w:rsidRPr="00B87BBB">
        <w:rPr>
          <w:snapToGrid w:val="0"/>
          <w:sz w:val="24"/>
          <w:szCs w:val="24"/>
        </w:rPr>
        <w:t>la</w:t>
      </w:r>
      <w:proofErr w:type="gramEnd"/>
      <w:r w:rsidRPr="00B87BBB">
        <w:rPr>
          <w:snapToGrid w:val="0"/>
          <w:sz w:val="24"/>
          <w:szCs w:val="24"/>
        </w:rPr>
        <w:t xml:space="preserve"> fourniture et l’acheminement de l’</w:t>
      </w:r>
      <w:r w:rsidR="005F41FC" w:rsidRPr="00B87BBB">
        <w:rPr>
          <w:snapToGrid w:val="0"/>
          <w:sz w:val="24"/>
          <w:szCs w:val="24"/>
        </w:rPr>
        <w:t xml:space="preserve">énergie </w:t>
      </w:r>
      <w:r w:rsidRPr="00B87BBB">
        <w:rPr>
          <w:snapToGrid w:val="0"/>
          <w:sz w:val="24"/>
          <w:szCs w:val="24"/>
        </w:rPr>
        <w:t>nécessaire aux sites identifiés,</w:t>
      </w:r>
    </w:p>
    <w:p w:rsidR="00FD65F1" w:rsidRPr="00B87BBB" w:rsidRDefault="00FD65F1" w:rsidP="00FD65F1">
      <w:pPr>
        <w:numPr>
          <w:ilvl w:val="0"/>
          <w:numId w:val="17"/>
        </w:numPr>
        <w:ind w:left="357" w:hanging="357"/>
        <w:jc w:val="both"/>
        <w:rPr>
          <w:snapToGrid w:val="0"/>
          <w:sz w:val="24"/>
          <w:szCs w:val="24"/>
        </w:rPr>
      </w:pPr>
      <w:proofErr w:type="gramStart"/>
      <w:r w:rsidRPr="00B87BBB">
        <w:rPr>
          <w:snapToGrid w:val="0"/>
          <w:sz w:val="24"/>
          <w:szCs w:val="24"/>
        </w:rPr>
        <w:t>la</w:t>
      </w:r>
      <w:proofErr w:type="gramEnd"/>
      <w:r w:rsidRPr="00B87BBB">
        <w:rPr>
          <w:snapToGrid w:val="0"/>
          <w:sz w:val="24"/>
          <w:szCs w:val="24"/>
        </w:rPr>
        <w:t xml:space="preserve"> mission de responsable d’équilibre définie en application de l’article L321-15 du Code de l’énergie,</w:t>
      </w:r>
    </w:p>
    <w:p w:rsidR="00FD65F1" w:rsidRPr="00B87BBB" w:rsidRDefault="00FD65F1" w:rsidP="001A449B">
      <w:pPr>
        <w:numPr>
          <w:ilvl w:val="0"/>
          <w:numId w:val="17"/>
        </w:numPr>
        <w:spacing w:after="120"/>
        <w:ind w:left="357" w:hanging="357"/>
        <w:jc w:val="both"/>
        <w:rPr>
          <w:strike/>
          <w:snapToGrid w:val="0"/>
          <w:sz w:val="24"/>
          <w:szCs w:val="24"/>
        </w:rPr>
      </w:pPr>
      <w:proofErr w:type="gramStart"/>
      <w:r w:rsidRPr="00B87BBB">
        <w:rPr>
          <w:snapToGrid w:val="0"/>
          <w:sz w:val="24"/>
          <w:szCs w:val="24"/>
        </w:rPr>
        <w:t>les</w:t>
      </w:r>
      <w:proofErr w:type="gramEnd"/>
      <w:r w:rsidRPr="00B87BBB">
        <w:rPr>
          <w:snapToGrid w:val="0"/>
          <w:sz w:val="24"/>
          <w:szCs w:val="24"/>
        </w:rPr>
        <w:t xml:space="preserve"> prestations de services assoc</w:t>
      </w:r>
      <w:r w:rsidR="001A449B" w:rsidRPr="00B87BBB">
        <w:rPr>
          <w:snapToGrid w:val="0"/>
          <w:sz w:val="24"/>
          <w:szCs w:val="24"/>
        </w:rPr>
        <w:t>iées telles que définies aux CCA</w:t>
      </w:r>
      <w:r w:rsidRPr="00B87BBB">
        <w:rPr>
          <w:snapToGrid w:val="0"/>
          <w:sz w:val="24"/>
          <w:szCs w:val="24"/>
        </w:rPr>
        <w:t>P</w:t>
      </w:r>
      <w:r w:rsidR="001A449B" w:rsidRPr="00B87BBB">
        <w:rPr>
          <w:snapToGrid w:val="0"/>
          <w:sz w:val="24"/>
          <w:szCs w:val="24"/>
        </w:rPr>
        <w:t xml:space="preserve"> et CCTP</w:t>
      </w:r>
      <w:r w:rsidR="00265EDF" w:rsidRPr="00B87BBB">
        <w:rPr>
          <w:snapToGrid w:val="0"/>
          <w:sz w:val="24"/>
          <w:szCs w:val="24"/>
        </w:rPr>
        <w:t>.</w:t>
      </w:r>
    </w:p>
    <w:p w:rsidR="00FD65F1" w:rsidRPr="00B87BBB" w:rsidRDefault="002D0901" w:rsidP="002D0901">
      <w:pPr>
        <w:tabs>
          <w:tab w:val="left" w:pos="10224"/>
        </w:tabs>
        <w:spacing w:before="120" w:after="120"/>
        <w:jc w:val="both"/>
        <w:rPr>
          <w:snapToGrid w:val="0"/>
          <w:sz w:val="24"/>
          <w:szCs w:val="24"/>
        </w:rPr>
      </w:pPr>
      <w:r w:rsidRPr="00B87BBB">
        <w:rPr>
          <w:snapToGrid w:val="0"/>
          <w:sz w:val="24"/>
          <w:szCs w:val="24"/>
        </w:rPr>
        <w:t>Les accords-cadres seront</w:t>
      </w:r>
      <w:r w:rsidR="009D28E1" w:rsidRPr="00B87BBB">
        <w:rPr>
          <w:snapToGrid w:val="0"/>
          <w:sz w:val="24"/>
          <w:szCs w:val="24"/>
        </w:rPr>
        <w:t xml:space="preserve"> passé</w:t>
      </w:r>
      <w:r w:rsidRPr="00B87BBB">
        <w:rPr>
          <w:snapToGrid w:val="0"/>
          <w:sz w:val="24"/>
          <w:szCs w:val="24"/>
        </w:rPr>
        <w:t>s</w:t>
      </w:r>
      <w:r w:rsidR="009D28E1" w:rsidRPr="00B87BBB">
        <w:rPr>
          <w:snapToGrid w:val="0"/>
          <w:sz w:val="24"/>
          <w:szCs w:val="24"/>
        </w:rPr>
        <w:t xml:space="preserve"> sans minimum ni maximum.</w:t>
      </w:r>
      <w:r w:rsidRPr="00B87BBB">
        <w:rPr>
          <w:snapToGrid w:val="0"/>
          <w:sz w:val="24"/>
          <w:szCs w:val="24"/>
        </w:rPr>
        <w:t xml:space="preserve"> Leur</w:t>
      </w:r>
      <w:r w:rsidR="00FD65F1" w:rsidRPr="00B87BBB">
        <w:rPr>
          <w:snapToGrid w:val="0"/>
          <w:sz w:val="24"/>
          <w:szCs w:val="24"/>
        </w:rPr>
        <w:t xml:space="preserve"> durée sera au maximum </w:t>
      </w:r>
      <w:r w:rsidR="0081441F" w:rsidRPr="00B87BBB">
        <w:rPr>
          <w:snapToGrid w:val="0"/>
          <w:sz w:val="24"/>
          <w:szCs w:val="24"/>
        </w:rPr>
        <w:t>de quatre ans</w:t>
      </w:r>
      <w:r w:rsidR="00FD65F1" w:rsidRPr="00B87BBB">
        <w:rPr>
          <w:snapToGrid w:val="0"/>
          <w:sz w:val="24"/>
          <w:szCs w:val="24"/>
        </w:rPr>
        <w:t xml:space="preserve"> </w:t>
      </w:r>
      <w:r w:rsidR="0081441F" w:rsidRPr="00B87BBB">
        <w:rPr>
          <w:snapToGrid w:val="0"/>
          <w:sz w:val="24"/>
          <w:szCs w:val="24"/>
        </w:rPr>
        <w:t>pour l’</w:t>
      </w:r>
      <w:r w:rsidR="00F077B1" w:rsidRPr="00B87BBB">
        <w:rPr>
          <w:snapToGrid w:val="0"/>
          <w:sz w:val="24"/>
          <w:szCs w:val="24"/>
        </w:rPr>
        <w:t xml:space="preserve">électricité et </w:t>
      </w:r>
      <w:r w:rsidR="0081441F" w:rsidRPr="00B87BBB">
        <w:rPr>
          <w:snapToGrid w:val="0"/>
          <w:sz w:val="24"/>
          <w:szCs w:val="24"/>
        </w:rPr>
        <w:t>le gaz</w:t>
      </w:r>
      <w:r w:rsidR="00265EDF" w:rsidRPr="00B87BBB">
        <w:rPr>
          <w:snapToGrid w:val="0"/>
          <w:sz w:val="24"/>
          <w:szCs w:val="24"/>
        </w:rPr>
        <w:t>.</w:t>
      </w:r>
    </w:p>
    <w:p w:rsidR="00FD65F1" w:rsidRPr="00B87BBB" w:rsidRDefault="002D0901" w:rsidP="002D0901">
      <w:pPr>
        <w:tabs>
          <w:tab w:val="left" w:pos="10224"/>
        </w:tabs>
        <w:spacing w:before="120" w:after="120"/>
        <w:jc w:val="both"/>
        <w:rPr>
          <w:snapToGrid w:val="0"/>
          <w:sz w:val="24"/>
          <w:szCs w:val="24"/>
        </w:rPr>
      </w:pPr>
      <w:r w:rsidRPr="00B87BBB">
        <w:rPr>
          <w:snapToGrid w:val="0"/>
          <w:sz w:val="24"/>
          <w:szCs w:val="24"/>
        </w:rPr>
        <w:t>L</w:t>
      </w:r>
      <w:r w:rsidR="00FD65F1" w:rsidRPr="00B87BBB">
        <w:rPr>
          <w:snapToGrid w:val="0"/>
          <w:sz w:val="24"/>
          <w:szCs w:val="24"/>
        </w:rPr>
        <w:t xml:space="preserve">es marchés subséquents </w:t>
      </w:r>
      <w:r w:rsidRPr="00B87BBB">
        <w:rPr>
          <w:snapToGrid w:val="0"/>
          <w:sz w:val="24"/>
          <w:szCs w:val="24"/>
        </w:rPr>
        <w:t xml:space="preserve">et autres éventuels marchés publics </w:t>
      </w:r>
      <w:r w:rsidR="00FD65F1" w:rsidRPr="00B87BBB">
        <w:rPr>
          <w:snapToGrid w:val="0"/>
          <w:sz w:val="24"/>
          <w:szCs w:val="24"/>
        </w:rPr>
        <w:t>seront passés sans minimum ni maximum.</w:t>
      </w:r>
      <w:r w:rsidR="00F077B1" w:rsidRPr="00B87BBB">
        <w:rPr>
          <w:snapToGrid w:val="0"/>
          <w:sz w:val="16"/>
          <w:szCs w:val="16"/>
        </w:rPr>
        <w:t xml:space="preserve"> </w:t>
      </w:r>
      <w:r w:rsidRPr="00B87BBB">
        <w:rPr>
          <w:snapToGrid w:val="0"/>
          <w:sz w:val="24"/>
          <w:szCs w:val="24"/>
        </w:rPr>
        <w:t>Ils</w:t>
      </w:r>
      <w:r w:rsidR="00FD65F1" w:rsidRPr="00B87BBB">
        <w:rPr>
          <w:snapToGrid w:val="0"/>
          <w:sz w:val="24"/>
          <w:szCs w:val="24"/>
        </w:rPr>
        <w:t xml:space="preserve"> seront </w:t>
      </w:r>
      <w:r w:rsidR="0081441F" w:rsidRPr="00B87BBB">
        <w:rPr>
          <w:snapToGrid w:val="0"/>
          <w:sz w:val="24"/>
          <w:szCs w:val="24"/>
        </w:rPr>
        <w:t>all</w:t>
      </w:r>
      <w:r w:rsidR="00FD65F1" w:rsidRPr="00B87BBB">
        <w:rPr>
          <w:snapToGrid w:val="0"/>
          <w:sz w:val="24"/>
          <w:szCs w:val="24"/>
        </w:rPr>
        <w:t>otis</w:t>
      </w:r>
      <w:r w:rsidR="0047171B" w:rsidRPr="00B87BBB">
        <w:rPr>
          <w:snapToGrid w:val="0"/>
          <w:sz w:val="24"/>
          <w:szCs w:val="24"/>
        </w:rPr>
        <w:t xml:space="preserve"> si besoin </w:t>
      </w:r>
      <w:r w:rsidR="0081441F" w:rsidRPr="00B87BBB">
        <w:rPr>
          <w:snapToGrid w:val="0"/>
          <w:sz w:val="24"/>
          <w:szCs w:val="24"/>
        </w:rPr>
        <w:t>et</w:t>
      </w:r>
      <w:r w:rsidR="00FD65F1" w:rsidRPr="00B87BBB">
        <w:rPr>
          <w:snapToGrid w:val="0"/>
          <w:sz w:val="24"/>
          <w:szCs w:val="24"/>
        </w:rPr>
        <w:t xml:space="preserve"> comporteront une option relative à la fourniture d’énergie renouvelable.</w:t>
      </w:r>
    </w:p>
    <w:p w:rsidR="00FD65F1" w:rsidRPr="00B87BBB" w:rsidRDefault="00FD65F1" w:rsidP="002D0901">
      <w:pPr>
        <w:tabs>
          <w:tab w:val="left" w:pos="10224"/>
        </w:tabs>
        <w:spacing w:before="120" w:after="120"/>
        <w:rPr>
          <w:b/>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5.3 – Commission d’appel d’offres</w:t>
      </w:r>
    </w:p>
    <w:p w:rsidR="00FD65F1" w:rsidRPr="00B87BBB" w:rsidRDefault="00FD65F1" w:rsidP="00FD65F1">
      <w:pPr>
        <w:tabs>
          <w:tab w:val="left" w:pos="10224"/>
        </w:tabs>
        <w:jc w:val="both"/>
        <w:rPr>
          <w:snapToGrid w:val="0"/>
          <w:sz w:val="24"/>
          <w:szCs w:val="24"/>
        </w:rPr>
      </w:pPr>
      <w:r w:rsidRPr="00B87BBB">
        <w:rPr>
          <w:snapToGrid w:val="0"/>
          <w:sz w:val="24"/>
          <w:szCs w:val="24"/>
        </w:rPr>
        <w:t xml:space="preserve">La Commission d’appel d’offres est constituée par la Commission d’appel d’offres permanente du SDE76 </w:t>
      </w:r>
      <w:r w:rsidR="0047171B" w:rsidRPr="00B87BBB">
        <w:rPr>
          <w:snapToGrid w:val="0"/>
          <w:sz w:val="24"/>
          <w:szCs w:val="24"/>
        </w:rPr>
        <w:t>en vigueur à chaque mise en concurrence.</w:t>
      </w:r>
    </w:p>
    <w:p w:rsidR="00FD65F1" w:rsidRPr="00B87BBB" w:rsidRDefault="00FD65F1" w:rsidP="00FD65F1">
      <w:pPr>
        <w:tabs>
          <w:tab w:val="left" w:pos="10224"/>
        </w:tabs>
        <w:jc w:val="both"/>
        <w:rPr>
          <w:snapToGrid w:val="0"/>
          <w:sz w:val="16"/>
          <w:szCs w:val="16"/>
        </w:rPr>
      </w:pPr>
    </w:p>
    <w:p w:rsidR="00FD65F1" w:rsidRPr="00B87BBB" w:rsidRDefault="00FD65F1" w:rsidP="00FD65F1">
      <w:pPr>
        <w:tabs>
          <w:tab w:val="left" w:pos="10224"/>
        </w:tabs>
        <w:jc w:val="both"/>
        <w:rPr>
          <w:snapToGrid w:val="0"/>
          <w:sz w:val="24"/>
          <w:szCs w:val="24"/>
        </w:rPr>
      </w:pPr>
      <w:r w:rsidRPr="00B87BBB">
        <w:rPr>
          <w:snapToGrid w:val="0"/>
          <w:sz w:val="24"/>
          <w:szCs w:val="24"/>
        </w:rPr>
        <w:t xml:space="preserve">La Commission d’appel d’offres sera assistée par les agents du SDE76 compétents dans la matière qui fait l’objet </w:t>
      </w:r>
      <w:r w:rsidR="0041563A" w:rsidRPr="00B87BBB">
        <w:rPr>
          <w:snapToGrid w:val="0"/>
          <w:sz w:val="24"/>
          <w:szCs w:val="24"/>
        </w:rPr>
        <w:t>des</w:t>
      </w:r>
      <w:r w:rsidRPr="00B87BBB">
        <w:rPr>
          <w:snapToGrid w:val="0"/>
          <w:sz w:val="24"/>
          <w:szCs w:val="24"/>
        </w:rPr>
        <w:t xml:space="preserve"> consultation</w:t>
      </w:r>
      <w:r w:rsidR="0041563A" w:rsidRPr="00B87BBB">
        <w:rPr>
          <w:snapToGrid w:val="0"/>
          <w:sz w:val="24"/>
          <w:szCs w:val="24"/>
        </w:rPr>
        <w:t>s associées au présent groupement</w:t>
      </w:r>
      <w:r w:rsidRPr="00B87BBB">
        <w:rPr>
          <w:snapToGrid w:val="0"/>
          <w:sz w:val="24"/>
          <w:szCs w:val="24"/>
        </w:rPr>
        <w:t>.</w:t>
      </w: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5.4 – Conclusion des marchés</w:t>
      </w:r>
    </w:p>
    <w:p w:rsidR="00FD65F1" w:rsidRPr="00B87BBB" w:rsidRDefault="00FD65F1" w:rsidP="00FD65F1">
      <w:pPr>
        <w:tabs>
          <w:tab w:val="left" w:pos="10224"/>
        </w:tabs>
        <w:jc w:val="both"/>
        <w:rPr>
          <w:snapToGrid w:val="0"/>
          <w:sz w:val="24"/>
          <w:szCs w:val="24"/>
        </w:rPr>
      </w:pPr>
      <w:r w:rsidRPr="00B87BBB">
        <w:rPr>
          <w:snapToGrid w:val="0"/>
          <w:sz w:val="24"/>
          <w:szCs w:val="24"/>
        </w:rPr>
        <w:t>Le SDE76, coordonnateur du groupement, signe et notifie l</w:t>
      </w:r>
      <w:r w:rsidR="0041563A" w:rsidRPr="00B87BBB">
        <w:rPr>
          <w:snapToGrid w:val="0"/>
          <w:sz w:val="24"/>
          <w:szCs w:val="24"/>
        </w:rPr>
        <w:t xml:space="preserve">es marchés publics ou </w:t>
      </w:r>
      <w:r w:rsidRPr="00B87BBB">
        <w:rPr>
          <w:snapToGrid w:val="0"/>
          <w:sz w:val="24"/>
          <w:szCs w:val="24"/>
        </w:rPr>
        <w:t>accord</w:t>
      </w:r>
      <w:r w:rsidR="0041563A" w:rsidRPr="00B87BBB">
        <w:rPr>
          <w:snapToGrid w:val="0"/>
          <w:sz w:val="24"/>
          <w:szCs w:val="24"/>
        </w:rPr>
        <w:t>s</w:t>
      </w:r>
      <w:r w:rsidRPr="00B87BBB">
        <w:rPr>
          <w:snapToGrid w:val="0"/>
          <w:sz w:val="24"/>
          <w:szCs w:val="24"/>
        </w:rPr>
        <w:t>-cadre</w:t>
      </w:r>
      <w:r w:rsidR="0041563A" w:rsidRPr="00B87BBB">
        <w:rPr>
          <w:snapToGrid w:val="0"/>
          <w:sz w:val="24"/>
          <w:szCs w:val="24"/>
        </w:rPr>
        <w:t>s</w:t>
      </w:r>
      <w:r w:rsidRPr="00B87BBB">
        <w:rPr>
          <w:snapToGrid w:val="0"/>
          <w:sz w:val="24"/>
          <w:szCs w:val="24"/>
        </w:rPr>
        <w:t xml:space="preserve"> et </w:t>
      </w:r>
      <w:r w:rsidR="0041563A" w:rsidRPr="00B87BBB">
        <w:rPr>
          <w:snapToGrid w:val="0"/>
          <w:sz w:val="24"/>
          <w:szCs w:val="24"/>
        </w:rPr>
        <w:t>m</w:t>
      </w:r>
      <w:r w:rsidRPr="00B87BBB">
        <w:rPr>
          <w:snapToGrid w:val="0"/>
          <w:sz w:val="24"/>
          <w:szCs w:val="24"/>
        </w:rPr>
        <w:t>arché</w:t>
      </w:r>
      <w:r w:rsidR="0041563A" w:rsidRPr="00B87BBB">
        <w:rPr>
          <w:snapToGrid w:val="0"/>
          <w:sz w:val="24"/>
          <w:szCs w:val="24"/>
        </w:rPr>
        <w:t>s</w:t>
      </w:r>
      <w:r w:rsidRPr="00B87BBB">
        <w:rPr>
          <w:snapToGrid w:val="0"/>
          <w:sz w:val="24"/>
          <w:szCs w:val="24"/>
        </w:rPr>
        <w:t xml:space="preserve"> subséquent</w:t>
      </w:r>
      <w:r w:rsidR="0041563A" w:rsidRPr="00B87BBB">
        <w:rPr>
          <w:snapToGrid w:val="0"/>
          <w:sz w:val="24"/>
          <w:szCs w:val="24"/>
        </w:rPr>
        <w:t>s</w:t>
      </w:r>
      <w:r w:rsidRPr="00B87BBB">
        <w:rPr>
          <w:snapToGrid w:val="0"/>
          <w:sz w:val="24"/>
          <w:szCs w:val="24"/>
        </w:rPr>
        <w:t xml:space="preserve"> au nom de l’ensemble des membres du groupement.</w:t>
      </w: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5.5 – Exécution du marché</w:t>
      </w:r>
    </w:p>
    <w:p w:rsidR="00FD65F1" w:rsidRPr="00B87BBB" w:rsidRDefault="00FD65F1" w:rsidP="00FD65F1">
      <w:pPr>
        <w:tabs>
          <w:tab w:val="left" w:pos="10224"/>
        </w:tabs>
        <w:jc w:val="both"/>
        <w:rPr>
          <w:snapToGrid w:val="0"/>
          <w:sz w:val="24"/>
          <w:szCs w:val="24"/>
        </w:rPr>
      </w:pPr>
      <w:r w:rsidRPr="00B87BBB">
        <w:rPr>
          <w:snapToGrid w:val="0"/>
          <w:sz w:val="24"/>
          <w:szCs w:val="24"/>
        </w:rPr>
        <w:t>Chaque membre du groupement, pour ce qui le concerne, assure la bonne exécution du marché qui lui incombe.</w:t>
      </w: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spacing w:after="120"/>
        <w:jc w:val="both"/>
        <w:rPr>
          <w:b/>
          <w:snapToGrid w:val="0"/>
          <w:sz w:val="24"/>
          <w:szCs w:val="24"/>
        </w:rPr>
      </w:pPr>
      <w:r w:rsidRPr="00B87BBB">
        <w:rPr>
          <w:b/>
          <w:snapToGrid w:val="0"/>
          <w:sz w:val="24"/>
          <w:szCs w:val="24"/>
        </w:rPr>
        <w:t>5.6 – Règlement du marché</w:t>
      </w:r>
    </w:p>
    <w:p w:rsidR="00FD65F1" w:rsidRPr="00B87BBB" w:rsidRDefault="00FD65F1" w:rsidP="005C2EC3">
      <w:pPr>
        <w:tabs>
          <w:tab w:val="left" w:pos="10224"/>
        </w:tabs>
        <w:spacing w:after="240"/>
        <w:jc w:val="both"/>
        <w:rPr>
          <w:snapToGrid w:val="0"/>
          <w:sz w:val="24"/>
          <w:szCs w:val="24"/>
        </w:rPr>
      </w:pPr>
      <w:r w:rsidRPr="00B87BBB">
        <w:rPr>
          <w:snapToGrid w:val="0"/>
          <w:sz w:val="24"/>
          <w:szCs w:val="24"/>
        </w:rPr>
        <w:t>Chaque membre du groupement règle la part du marché qui lui incombe.</w:t>
      </w:r>
    </w:p>
    <w:p w:rsidR="00FD65F1" w:rsidRPr="00B87BBB" w:rsidRDefault="00FD65F1" w:rsidP="00FD65F1">
      <w:pPr>
        <w:tabs>
          <w:tab w:val="left" w:pos="10224"/>
        </w:tabs>
        <w:jc w:val="both"/>
        <w:rPr>
          <w:snapToGrid w:val="0"/>
          <w:sz w:val="24"/>
          <w:szCs w:val="24"/>
        </w:rPr>
      </w:pPr>
    </w:p>
    <w:p w:rsidR="00FD65F1" w:rsidRPr="00B87BBB" w:rsidRDefault="00FD65F1" w:rsidP="00FD65F1">
      <w:pPr>
        <w:tabs>
          <w:tab w:val="left" w:pos="10224"/>
        </w:tabs>
        <w:rPr>
          <w:b/>
          <w:snapToGrid w:val="0"/>
          <w:sz w:val="24"/>
          <w:szCs w:val="24"/>
          <w:u w:val="single"/>
        </w:rPr>
      </w:pPr>
      <w:r w:rsidRPr="00B87BBB">
        <w:rPr>
          <w:b/>
          <w:snapToGrid w:val="0"/>
          <w:sz w:val="24"/>
          <w:szCs w:val="24"/>
          <w:u w:val="single"/>
        </w:rPr>
        <w:t xml:space="preserve">ARTICLE 6 </w:t>
      </w:r>
      <w:r w:rsidRPr="00B87BBB">
        <w:rPr>
          <w:b/>
          <w:snapToGrid w:val="0"/>
          <w:sz w:val="24"/>
          <w:szCs w:val="24"/>
        </w:rPr>
        <w:t xml:space="preserve">– </w:t>
      </w:r>
      <w:r w:rsidRPr="00B87BBB">
        <w:rPr>
          <w:b/>
          <w:snapToGrid w:val="0"/>
          <w:sz w:val="24"/>
          <w:szCs w:val="24"/>
          <w:u w:val="single"/>
        </w:rPr>
        <w:t>REGLEMENT DES LITIGES - REPRESENTATION EN JUSTICE</w:t>
      </w:r>
    </w:p>
    <w:p w:rsidR="00FD65F1" w:rsidRPr="00B87BBB" w:rsidRDefault="00FD65F1" w:rsidP="00FD65F1">
      <w:pPr>
        <w:tabs>
          <w:tab w:val="left" w:pos="10224"/>
        </w:tabs>
        <w:jc w:val="both"/>
        <w:rPr>
          <w:snapToGrid w:val="0"/>
          <w:sz w:val="24"/>
          <w:szCs w:val="24"/>
        </w:rPr>
      </w:pPr>
    </w:p>
    <w:p w:rsidR="00FD65F1" w:rsidRPr="00B87BBB" w:rsidRDefault="00FD65F1" w:rsidP="0041563A">
      <w:pPr>
        <w:tabs>
          <w:tab w:val="left" w:pos="10224"/>
        </w:tabs>
        <w:spacing w:after="120"/>
        <w:jc w:val="both"/>
        <w:rPr>
          <w:snapToGrid w:val="0"/>
          <w:sz w:val="24"/>
          <w:szCs w:val="24"/>
        </w:rPr>
      </w:pPr>
      <w:r w:rsidRPr="00B87BBB">
        <w:rPr>
          <w:snapToGrid w:val="0"/>
          <w:sz w:val="24"/>
          <w:szCs w:val="24"/>
        </w:rPr>
        <w:t>Les litiges qui pourraient naitre de l’application de la présente convention sont de la compétence du tribunal administratif de Rouen.</w:t>
      </w:r>
    </w:p>
    <w:p w:rsidR="00FD65F1" w:rsidRPr="00B87BBB" w:rsidRDefault="00FD65F1" w:rsidP="0041563A">
      <w:pPr>
        <w:spacing w:after="120"/>
        <w:jc w:val="both"/>
        <w:rPr>
          <w:sz w:val="24"/>
          <w:szCs w:val="24"/>
        </w:rPr>
      </w:pPr>
      <w:r w:rsidRPr="00B87BBB">
        <w:rPr>
          <w:sz w:val="24"/>
          <w:szCs w:val="24"/>
        </w:rPr>
        <w:t>Le représentant du coordonnateur peut ester en justice au nom et pour le compte des membres du groupement pour les procédures dont il a la charge.</w:t>
      </w:r>
    </w:p>
    <w:p w:rsidR="00FD65F1" w:rsidRPr="00B87BBB" w:rsidRDefault="00FD65F1" w:rsidP="0041563A">
      <w:pPr>
        <w:spacing w:after="120"/>
        <w:jc w:val="both"/>
        <w:rPr>
          <w:sz w:val="24"/>
          <w:szCs w:val="24"/>
        </w:rPr>
      </w:pPr>
      <w:r w:rsidRPr="00B87BBB">
        <w:rPr>
          <w:sz w:val="24"/>
          <w:szCs w:val="24"/>
        </w:rPr>
        <w:t xml:space="preserve">Il informe et consulte les membres sur sa démarche et son évolution. </w:t>
      </w:r>
    </w:p>
    <w:p w:rsidR="00FD65F1" w:rsidRPr="00B87BBB" w:rsidRDefault="00FD65F1" w:rsidP="0041563A">
      <w:pPr>
        <w:tabs>
          <w:tab w:val="left" w:pos="10224"/>
        </w:tabs>
        <w:spacing w:after="120"/>
        <w:jc w:val="both"/>
        <w:rPr>
          <w:snapToGrid w:val="0"/>
          <w:sz w:val="24"/>
          <w:szCs w:val="24"/>
        </w:rPr>
      </w:pPr>
      <w:r w:rsidRPr="00B87BBB">
        <w:rPr>
          <w:snapToGrid w:val="0"/>
          <w:sz w:val="24"/>
          <w:szCs w:val="24"/>
        </w:rPr>
        <w:t>Toutefois, les membres du groupement s’engagent à tenter de résoudre à l’amiable tout différend résultant de l’interprétation, de l’exécution et des suites de la présente convention.</w:t>
      </w:r>
    </w:p>
    <w:p w:rsidR="00FD65F1" w:rsidRPr="00B87BBB" w:rsidRDefault="00FD65F1" w:rsidP="0041563A">
      <w:pPr>
        <w:spacing w:after="120"/>
        <w:jc w:val="both"/>
        <w:rPr>
          <w:sz w:val="24"/>
          <w:szCs w:val="24"/>
        </w:rPr>
      </w:pPr>
      <w:r w:rsidRPr="00B87BBB">
        <w:rPr>
          <w:sz w:val="24"/>
          <w:szCs w:val="24"/>
        </w:rPr>
        <w:t xml:space="preserve">Frais de justice : l’ensemble des membres du groupement porte la responsabilité de la procédure de passation. </w:t>
      </w:r>
    </w:p>
    <w:p w:rsidR="00FD65F1" w:rsidRPr="00B87BBB" w:rsidRDefault="00FD65F1" w:rsidP="005C2EC3">
      <w:pPr>
        <w:tabs>
          <w:tab w:val="left" w:pos="10224"/>
        </w:tabs>
        <w:spacing w:after="240"/>
        <w:jc w:val="both"/>
        <w:rPr>
          <w:snapToGrid w:val="0"/>
          <w:sz w:val="24"/>
          <w:szCs w:val="24"/>
        </w:rPr>
      </w:pPr>
      <w:r w:rsidRPr="00B87BBB">
        <w:rPr>
          <w:snapToGrid w:val="0"/>
          <w:sz w:val="24"/>
          <w:szCs w:val="24"/>
        </w:rPr>
        <w:t xml:space="preserve">En cas de condamnation financière du coordonnateur par une décision devenue définitive d’une juridiction administrative, le coordonnateur divise la charge financière par le nombre de membres pondéré par le poids relatif de chacun d'entre eux dans le marché ou les marchés, accords-cadres et marchés subséquents afférents à la convention. Il effectue l'appel de fonds auprès de chaque membre pour la part qui lui revient. </w:t>
      </w:r>
    </w:p>
    <w:p w:rsidR="0081441F" w:rsidRPr="00B87BBB" w:rsidRDefault="0081441F" w:rsidP="00FD65F1">
      <w:pPr>
        <w:tabs>
          <w:tab w:val="left" w:pos="10224"/>
        </w:tabs>
        <w:rPr>
          <w:b/>
          <w:snapToGrid w:val="0"/>
          <w:sz w:val="24"/>
          <w:szCs w:val="24"/>
          <w:u w:val="single"/>
        </w:rPr>
      </w:pPr>
    </w:p>
    <w:p w:rsidR="00FD65F1" w:rsidRPr="00B87BBB" w:rsidRDefault="00FD65F1" w:rsidP="00FD65F1">
      <w:pPr>
        <w:tabs>
          <w:tab w:val="left" w:pos="10224"/>
        </w:tabs>
        <w:rPr>
          <w:b/>
          <w:snapToGrid w:val="0"/>
          <w:sz w:val="24"/>
          <w:szCs w:val="24"/>
          <w:u w:val="single"/>
        </w:rPr>
      </w:pPr>
      <w:r w:rsidRPr="00B87BBB">
        <w:rPr>
          <w:b/>
          <w:snapToGrid w:val="0"/>
          <w:sz w:val="24"/>
          <w:szCs w:val="24"/>
          <w:u w:val="single"/>
        </w:rPr>
        <w:t>ARTICLE 7</w:t>
      </w:r>
      <w:r w:rsidRPr="00B87BBB">
        <w:rPr>
          <w:b/>
          <w:snapToGrid w:val="0"/>
          <w:sz w:val="24"/>
          <w:szCs w:val="24"/>
        </w:rPr>
        <w:t>-</w:t>
      </w:r>
      <w:r w:rsidRPr="00B87BBB">
        <w:rPr>
          <w:b/>
          <w:snapToGrid w:val="0"/>
          <w:sz w:val="24"/>
          <w:szCs w:val="24"/>
          <w:u w:val="single"/>
        </w:rPr>
        <w:t xml:space="preserve"> DISSOLUTION DU GROUPEMENT</w:t>
      </w:r>
    </w:p>
    <w:p w:rsidR="00FD65F1" w:rsidRPr="00B87BBB" w:rsidRDefault="00FD65F1" w:rsidP="00FD65F1">
      <w:pPr>
        <w:contextualSpacing/>
        <w:jc w:val="both"/>
        <w:rPr>
          <w:sz w:val="24"/>
          <w:szCs w:val="24"/>
        </w:rPr>
      </w:pPr>
    </w:p>
    <w:p w:rsidR="00FD65F1" w:rsidRPr="00B87BBB" w:rsidRDefault="00FD65F1" w:rsidP="005C2EC3">
      <w:pPr>
        <w:tabs>
          <w:tab w:val="left" w:pos="10224"/>
        </w:tabs>
        <w:spacing w:after="240"/>
        <w:jc w:val="both"/>
        <w:rPr>
          <w:snapToGrid w:val="0"/>
          <w:sz w:val="24"/>
          <w:szCs w:val="24"/>
        </w:rPr>
      </w:pPr>
      <w:r w:rsidRPr="00B87BBB">
        <w:rPr>
          <w:snapToGrid w:val="0"/>
          <w:sz w:val="24"/>
          <w:szCs w:val="24"/>
        </w:rPr>
        <w:t>Le groupement est dissout par décision d'une majorité qualifiée de 51% de ses membres ; si cette dissolution intervient avant la fin des engagements du coordonnateur, il lui est donné quitus par chaque membre du groupement pour ce qui le concerne, au vu de l'état des diligences du coordonnateur.</w:t>
      </w:r>
    </w:p>
    <w:p w:rsidR="00FD65F1" w:rsidRPr="00B87BBB" w:rsidRDefault="00FD65F1" w:rsidP="00FD65F1">
      <w:pPr>
        <w:contextualSpacing/>
        <w:jc w:val="both"/>
        <w:rPr>
          <w:sz w:val="24"/>
          <w:szCs w:val="24"/>
        </w:rPr>
      </w:pPr>
    </w:p>
    <w:p w:rsidR="009E5085" w:rsidRPr="00B87BBB" w:rsidRDefault="00FD65F1" w:rsidP="00F522B3">
      <w:pPr>
        <w:tabs>
          <w:tab w:val="left" w:pos="10224"/>
        </w:tabs>
        <w:jc w:val="both"/>
        <w:rPr>
          <w:snapToGrid w:val="0"/>
          <w:sz w:val="24"/>
          <w:szCs w:val="24"/>
        </w:rPr>
      </w:pPr>
      <w:r w:rsidRPr="00B87BBB">
        <w:rPr>
          <w:snapToGrid w:val="0"/>
          <w:sz w:val="24"/>
          <w:szCs w:val="24"/>
        </w:rPr>
        <w:t xml:space="preserve">La présente convention est établie en un exemplaire original et </w:t>
      </w:r>
      <w:r w:rsidR="00F077B1" w:rsidRPr="00B87BBB">
        <w:rPr>
          <w:snapToGrid w:val="0"/>
          <w:sz w:val="24"/>
          <w:szCs w:val="24"/>
        </w:rPr>
        <w:t xml:space="preserve">plusieurs </w:t>
      </w:r>
      <w:r w:rsidRPr="00B87BBB">
        <w:rPr>
          <w:snapToGrid w:val="0"/>
          <w:sz w:val="24"/>
          <w:szCs w:val="24"/>
        </w:rPr>
        <w:t>copies « certifiées conformes à l’original ».</w:t>
      </w:r>
    </w:p>
    <w:p w:rsidR="00F9756E" w:rsidRPr="00B87BBB" w:rsidRDefault="00F9756E" w:rsidP="00F522B3">
      <w:pPr>
        <w:tabs>
          <w:tab w:val="left" w:pos="10224"/>
        </w:tabs>
        <w:jc w:val="both"/>
        <w:rPr>
          <w:snapToGrid w:val="0"/>
          <w:sz w:val="24"/>
          <w:szCs w:val="24"/>
        </w:rPr>
      </w:pPr>
    </w:p>
    <w:p w:rsidR="00F9756E" w:rsidRPr="00B87BBB" w:rsidRDefault="00F9756E" w:rsidP="00387219">
      <w:pPr>
        <w:tabs>
          <w:tab w:val="left" w:pos="10224"/>
        </w:tabs>
        <w:ind w:firstLine="709"/>
        <w:jc w:val="both"/>
        <w:rPr>
          <w:snapToGrid w:val="0"/>
          <w:sz w:val="24"/>
          <w:szCs w:val="24"/>
        </w:rPr>
      </w:pPr>
    </w:p>
    <w:p w:rsidR="00F9756E" w:rsidRPr="00B87BBB" w:rsidRDefault="00F9756E" w:rsidP="00F9756E">
      <w:pPr>
        <w:contextualSpacing/>
        <w:jc w:val="both"/>
        <w:rPr>
          <w:rFonts w:eastAsia="Arial"/>
          <w:sz w:val="24"/>
          <w:szCs w:val="24"/>
        </w:rPr>
      </w:pPr>
      <w:r w:rsidRPr="00B87BBB">
        <w:rPr>
          <w:rFonts w:eastAsia="Arial"/>
          <w:sz w:val="24"/>
          <w:szCs w:val="24"/>
        </w:rPr>
        <w:t>Le coordonnateur du groupement :</w:t>
      </w:r>
      <w:r w:rsidR="005C2EC3" w:rsidRPr="00B87BBB">
        <w:rPr>
          <w:rFonts w:eastAsia="Arial"/>
          <w:sz w:val="24"/>
          <w:szCs w:val="24"/>
        </w:rPr>
        <w:tab/>
      </w:r>
      <w:r w:rsidR="005C2EC3" w:rsidRPr="00B87BBB">
        <w:rPr>
          <w:rFonts w:eastAsia="Arial"/>
          <w:sz w:val="24"/>
          <w:szCs w:val="24"/>
        </w:rPr>
        <w:tab/>
      </w:r>
      <w:r w:rsidR="005C2EC3" w:rsidRPr="00B87BBB">
        <w:rPr>
          <w:rFonts w:eastAsia="Arial"/>
          <w:sz w:val="24"/>
          <w:szCs w:val="24"/>
        </w:rPr>
        <w:tab/>
      </w:r>
      <w:r w:rsidR="005C2EC3" w:rsidRPr="00B87BBB">
        <w:rPr>
          <w:rFonts w:eastAsia="Arial"/>
          <w:sz w:val="24"/>
          <w:szCs w:val="24"/>
        </w:rPr>
        <w:tab/>
        <w:t>Le membre du groupement :</w:t>
      </w:r>
    </w:p>
    <w:p w:rsidR="00F9756E" w:rsidRPr="00B87BBB" w:rsidRDefault="00F9756E" w:rsidP="00F9756E">
      <w:pPr>
        <w:contextualSpacing/>
        <w:jc w:val="both"/>
        <w:rPr>
          <w:sz w:val="24"/>
          <w:szCs w:val="24"/>
        </w:rPr>
      </w:pPr>
    </w:p>
    <w:p w:rsidR="00F9756E" w:rsidRPr="00B87BBB" w:rsidRDefault="00F9756E" w:rsidP="00F9756E">
      <w:pPr>
        <w:tabs>
          <w:tab w:val="left" w:pos="10224"/>
        </w:tabs>
        <w:rPr>
          <w:snapToGrid w:val="0"/>
          <w:sz w:val="24"/>
          <w:szCs w:val="24"/>
        </w:rPr>
      </w:pPr>
      <w:r w:rsidRPr="00B87BBB">
        <w:rPr>
          <w:snapToGrid w:val="0"/>
          <w:sz w:val="24"/>
          <w:szCs w:val="24"/>
        </w:rPr>
        <w:t>Le Président du Syndicat Départemental</w:t>
      </w:r>
    </w:p>
    <w:p w:rsidR="00F9756E" w:rsidRPr="00B87BBB" w:rsidRDefault="00F9756E" w:rsidP="00F9756E">
      <w:pPr>
        <w:tabs>
          <w:tab w:val="left" w:pos="10224"/>
        </w:tabs>
        <w:rPr>
          <w:snapToGrid w:val="0"/>
          <w:sz w:val="24"/>
          <w:szCs w:val="24"/>
        </w:rPr>
      </w:pPr>
      <w:proofErr w:type="gramStart"/>
      <w:r w:rsidRPr="00B87BBB">
        <w:rPr>
          <w:snapToGrid w:val="0"/>
          <w:sz w:val="24"/>
          <w:szCs w:val="24"/>
        </w:rPr>
        <w:t>d’Energie</w:t>
      </w:r>
      <w:proofErr w:type="gramEnd"/>
      <w:r w:rsidRPr="00B87BBB">
        <w:rPr>
          <w:snapToGrid w:val="0"/>
          <w:sz w:val="24"/>
          <w:szCs w:val="24"/>
        </w:rPr>
        <w:t xml:space="preserve"> de la Seine-Maritime</w:t>
      </w:r>
    </w:p>
    <w:p w:rsidR="00F9756E" w:rsidRPr="00B87BBB" w:rsidRDefault="00F9756E" w:rsidP="00F9756E">
      <w:pPr>
        <w:tabs>
          <w:tab w:val="left" w:pos="10224"/>
        </w:tabs>
        <w:rPr>
          <w:snapToGrid w:val="0"/>
          <w:sz w:val="24"/>
          <w:szCs w:val="24"/>
        </w:rPr>
      </w:pPr>
    </w:p>
    <w:p w:rsidR="00F9756E" w:rsidRPr="00B87BBB" w:rsidRDefault="00F9756E" w:rsidP="00F9756E">
      <w:pPr>
        <w:tabs>
          <w:tab w:val="left" w:pos="10224"/>
        </w:tabs>
        <w:rPr>
          <w:snapToGrid w:val="0"/>
          <w:sz w:val="24"/>
          <w:szCs w:val="24"/>
        </w:rPr>
      </w:pPr>
    </w:p>
    <w:p w:rsidR="002D5F3B" w:rsidRPr="00B87BBB" w:rsidRDefault="002D5F3B" w:rsidP="00F9756E">
      <w:pPr>
        <w:tabs>
          <w:tab w:val="left" w:pos="10224"/>
        </w:tabs>
        <w:rPr>
          <w:snapToGrid w:val="0"/>
          <w:sz w:val="24"/>
          <w:szCs w:val="24"/>
        </w:rPr>
      </w:pPr>
    </w:p>
    <w:p w:rsidR="00F9756E" w:rsidRPr="00B87BBB" w:rsidRDefault="00F9756E" w:rsidP="00F9756E">
      <w:pPr>
        <w:tabs>
          <w:tab w:val="left" w:pos="10224"/>
        </w:tabs>
        <w:rPr>
          <w:snapToGrid w:val="0"/>
          <w:sz w:val="24"/>
          <w:szCs w:val="24"/>
        </w:rPr>
      </w:pPr>
    </w:p>
    <w:p w:rsidR="00F9756E" w:rsidRPr="00B87BBB" w:rsidRDefault="002D5F3B" w:rsidP="005C2EC3">
      <w:pPr>
        <w:tabs>
          <w:tab w:val="left" w:pos="10224"/>
        </w:tabs>
        <w:rPr>
          <w:sz w:val="24"/>
          <w:szCs w:val="24"/>
        </w:rPr>
      </w:pPr>
      <w:r w:rsidRPr="00B87BBB">
        <w:rPr>
          <w:snapToGrid w:val="0"/>
          <w:sz w:val="24"/>
          <w:szCs w:val="24"/>
        </w:rPr>
        <w:t>Patrick CHAUVET.</w:t>
      </w:r>
      <w:r w:rsidR="005C2EC3" w:rsidRPr="00B87BBB">
        <w:rPr>
          <w:snapToGrid w:val="0"/>
          <w:sz w:val="24"/>
          <w:szCs w:val="24"/>
        </w:rPr>
        <w:t xml:space="preserve">                                                              ……………………………………</w:t>
      </w:r>
    </w:p>
    <w:p w:rsidR="00F9756E" w:rsidRPr="00B87BBB" w:rsidRDefault="00F9756E" w:rsidP="00F9756E">
      <w:pPr>
        <w:rPr>
          <w:sz w:val="24"/>
          <w:szCs w:val="24"/>
        </w:rPr>
      </w:pPr>
    </w:p>
    <w:p w:rsidR="00F9756E" w:rsidRPr="00B87BBB" w:rsidRDefault="00F9756E" w:rsidP="00F9756E">
      <w:pPr>
        <w:rPr>
          <w:sz w:val="24"/>
          <w:szCs w:val="24"/>
        </w:rPr>
      </w:pPr>
    </w:p>
    <w:p w:rsidR="00F9756E" w:rsidRPr="00B87BBB" w:rsidRDefault="00F9756E" w:rsidP="00F9756E">
      <w:pPr>
        <w:rPr>
          <w:sz w:val="24"/>
          <w:szCs w:val="24"/>
        </w:rPr>
      </w:pPr>
    </w:p>
    <w:p w:rsidR="00F9756E" w:rsidRPr="00B87BBB" w:rsidRDefault="00F9756E" w:rsidP="00F9756E">
      <w:pPr>
        <w:rPr>
          <w:sz w:val="24"/>
          <w:szCs w:val="24"/>
        </w:rPr>
      </w:pPr>
    </w:p>
    <w:p w:rsidR="00F9756E" w:rsidRPr="00B87BBB" w:rsidRDefault="00F9756E" w:rsidP="00F522B3">
      <w:pPr>
        <w:tabs>
          <w:tab w:val="left" w:pos="10224"/>
        </w:tabs>
        <w:jc w:val="both"/>
        <w:rPr>
          <w:snapToGrid w:val="0"/>
          <w:sz w:val="24"/>
          <w:szCs w:val="24"/>
        </w:rPr>
      </w:pPr>
    </w:p>
    <w:p w:rsidR="00F13F89" w:rsidRPr="00B87BBB" w:rsidRDefault="00F13F89" w:rsidP="00F522B3">
      <w:pPr>
        <w:tabs>
          <w:tab w:val="left" w:pos="10224"/>
        </w:tabs>
        <w:jc w:val="both"/>
        <w:rPr>
          <w:sz w:val="24"/>
          <w:szCs w:val="24"/>
        </w:rPr>
      </w:pPr>
    </w:p>
    <w:sectPr w:rsidR="00F13F89" w:rsidRPr="00B87BBB" w:rsidSect="00205177">
      <w:footerReference w:type="even" r:id="rId9"/>
      <w:footerReference w:type="default" r:id="rId10"/>
      <w:pgSz w:w="11907" w:h="16840" w:code="9"/>
      <w:pgMar w:top="1134" w:right="1134" w:bottom="1134" w:left="1134" w:header="720"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99" w:rsidRDefault="00171099" w:rsidP="00AF1839">
      <w:r>
        <w:separator/>
      </w:r>
    </w:p>
  </w:endnote>
  <w:endnote w:type="continuationSeparator" w:id="0">
    <w:p w:rsidR="00171099" w:rsidRDefault="00171099" w:rsidP="00AF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99" w:rsidRDefault="00F077B1">
    <w:pPr>
      <w:pStyle w:val="Pieddepage"/>
      <w:jc w:val="center"/>
    </w:pPr>
    <w:r>
      <w:fldChar w:fldCharType="begin"/>
    </w:r>
    <w:r>
      <w:instrText xml:space="preserve"> PAGE   \* MERGEFORMAT </w:instrText>
    </w:r>
    <w:r>
      <w:fldChar w:fldCharType="separate"/>
    </w:r>
    <w:r w:rsidR="00171099">
      <w:rPr>
        <w:noProof/>
      </w:rPr>
      <w:t>14</w:t>
    </w:r>
    <w:r>
      <w:rPr>
        <w:noProof/>
      </w:rPr>
      <w:fldChar w:fldCharType="end"/>
    </w:r>
  </w:p>
  <w:p w:rsidR="00171099" w:rsidRDefault="00171099" w:rsidP="00AF1839">
    <w:pPr>
      <w:pStyle w:val="Pieddepage"/>
      <w:tabs>
        <w:tab w:val="clear" w:pos="4536"/>
        <w:tab w:val="left" w:pos="5103"/>
        <w:tab w:val="left" w:pos="5387"/>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3"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
      <w:gridCol w:w="295"/>
      <w:gridCol w:w="5963"/>
      <w:gridCol w:w="1183"/>
      <w:gridCol w:w="443"/>
      <w:gridCol w:w="879"/>
    </w:tblGrid>
    <w:tr w:rsidR="00171099" w:rsidRPr="0094641A" w:rsidTr="00C16501">
      <w:trPr>
        <w:jc w:val="center"/>
      </w:trPr>
      <w:tc>
        <w:tcPr>
          <w:tcW w:w="970" w:type="dxa"/>
          <w:tcBorders>
            <w:top w:val="single" w:sz="6" w:space="0" w:color="auto"/>
            <w:left w:val="single" w:sz="6" w:space="0" w:color="auto"/>
            <w:bottom w:val="single" w:sz="6" w:space="0" w:color="auto"/>
            <w:right w:val="single" w:sz="6" w:space="0" w:color="auto"/>
          </w:tcBorders>
          <w:shd w:val="pct12" w:color="auto" w:fill="auto"/>
          <w:vAlign w:val="center"/>
        </w:tcPr>
        <w:p w:rsidR="00171099" w:rsidRPr="0094641A" w:rsidRDefault="00171099" w:rsidP="00713658">
          <w:pPr>
            <w:pStyle w:val="RdaliaPieddepage"/>
            <w:jc w:val="left"/>
            <w:rPr>
              <w:rFonts w:ascii="Times New Roman" w:hAnsi="Times New Roman"/>
              <w:i/>
            </w:rPr>
          </w:pPr>
          <w:r w:rsidRPr="0094641A">
            <w:rPr>
              <w:rFonts w:ascii="Times New Roman" w:hAnsi="Times New Roman"/>
              <w:i/>
              <w:sz w:val="16"/>
            </w:rPr>
            <w:t>SDE76</w:t>
          </w:r>
        </w:p>
      </w:tc>
      <w:tc>
        <w:tcPr>
          <w:tcW w:w="295" w:type="dxa"/>
          <w:tcBorders>
            <w:top w:val="single" w:sz="6" w:space="0" w:color="auto"/>
            <w:left w:val="single" w:sz="6" w:space="0" w:color="auto"/>
            <w:bottom w:val="single" w:sz="6" w:space="0" w:color="auto"/>
            <w:right w:val="single" w:sz="6" w:space="0" w:color="auto"/>
          </w:tcBorders>
        </w:tcPr>
        <w:p w:rsidR="00171099" w:rsidRPr="0094641A" w:rsidRDefault="00171099" w:rsidP="00334D09">
          <w:pPr>
            <w:pStyle w:val="RdaliaPieddepage"/>
            <w:rPr>
              <w:rFonts w:ascii="Times New Roman" w:hAnsi="Times New Roman"/>
              <w:i/>
            </w:rPr>
          </w:pPr>
        </w:p>
      </w:tc>
      <w:tc>
        <w:tcPr>
          <w:tcW w:w="5963" w:type="dxa"/>
          <w:tcBorders>
            <w:top w:val="single" w:sz="6" w:space="0" w:color="auto"/>
            <w:left w:val="single" w:sz="6" w:space="0" w:color="auto"/>
            <w:bottom w:val="single" w:sz="6" w:space="0" w:color="auto"/>
            <w:right w:val="single" w:sz="6" w:space="0" w:color="auto"/>
          </w:tcBorders>
          <w:shd w:val="pct12" w:color="auto" w:fill="auto"/>
          <w:vAlign w:val="center"/>
        </w:tcPr>
        <w:p w:rsidR="00171099" w:rsidRPr="0094641A" w:rsidRDefault="00F71766" w:rsidP="002D5F3B">
          <w:pPr>
            <w:pStyle w:val="RdaliaPieddepage"/>
            <w:jc w:val="left"/>
            <w:rPr>
              <w:rFonts w:ascii="Times New Roman" w:hAnsi="Times New Roman"/>
              <w:sz w:val="16"/>
              <w:szCs w:val="16"/>
            </w:rPr>
          </w:pPr>
          <w:r w:rsidRPr="00F71766">
            <w:rPr>
              <w:rFonts w:ascii="Times New Roman" w:hAnsi="Times New Roman"/>
              <w:sz w:val="14"/>
              <w:szCs w:val="16"/>
            </w:rPr>
            <w:t xml:space="preserve">B:\ENERGIES\Achats énergie\06_Gpmt achat 2020-2023 </w:t>
          </w:r>
          <w:proofErr w:type="spellStart"/>
          <w:r w:rsidRPr="00F71766">
            <w:rPr>
              <w:rFonts w:ascii="Times New Roman" w:hAnsi="Times New Roman"/>
              <w:sz w:val="14"/>
              <w:szCs w:val="16"/>
            </w:rPr>
            <w:t>élec&amp;gaz</w:t>
          </w:r>
          <w:proofErr w:type="spellEnd"/>
          <w:r w:rsidRPr="00F71766">
            <w:rPr>
              <w:rFonts w:ascii="Times New Roman" w:hAnsi="Times New Roman"/>
              <w:sz w:val="14"/>
              <w:szCs w:val="16"/>
            </w:rPr>
            <w:t xml:space="preserve">\Prépa </w:t>
          </w:r>
          <w:proofErr w:type="spellStart"/>
          <w:r w:rsidRPr="00F71766">
            <w:rPr>
              <w:rFonts w:ascii="Times New Roman" w:hAnsi="Times New Roman"/>
              <w:sz w:val="14"/>
              <w:szCs w:val="16"/>
            </w:rPr>
            <w:t>gpmt</w:t>
          </w:r>
          <w:proofErr w:type="spellEnd"/>
          <w:r w:rsidRPr="00F71766">
            <w:rPr>
              <w:rFonts w:ascii="Times New Roman" w:hAnsi="Times New Roman"/>
              <w:sz w:val="14"/>
              <w:szCs w:val="16"/>
            </w:rPr>
            <w:t xml:space="preserve"> commande</w:t>
          </w:r>
        </w:p>
      </w:tc>
      <w:tc>
        <w:tcPr>
          <w:tcW w:w="1183" w:type="dxa"/>
          <w:tcBorders>
            <w:top w:val="single" w:sz="6" w:space="0" w:color="auto"/>
            <w:left w:val="single" w:sz="6" w:space="0" w:color="auto"/>
            <w:bottom w:val="single" w:sz="6" w:space="0" w:color="auto"/>
            <w:right w:val="single" w:sz="6" w:space="0" w:color="auto"/>
          </w:tcBorders>
          <w:vAlign w:val="center"/>
        </w:tcPr>
        <w:p w:rsidR="00171099" w:rsidRPr="0094641A" w:rsidRDefault="00CB3296" w:rsidP="00630578">
          <w:pPr>
            <w:pStyle w:val="RdaliaPieddepage"/>
            <w:jc w:val="right"/>
            <w:rPr>
              <w:rFonts w:ascii="Times New Roman" w:hAnsi="Times New Roman"/>
              <w:i/>
              <w:sz w:val="16"/>
            </w:rPr>
          </w:pPr>
          <w:r>
            <w:rPr>
              <w:rFonts w:ascii="Times New Roman" w:hAnsi="Times New Roman"/>
              <w:i/>
              <w:sz w:val="16"/>
            </w:rPr>
            <w:t>1</w:t>
          </w:r>
          <w:r w:rsidR="00630578">
            <w:rPr>
              <w:rFonts w:ascii="Times New Roman" w:hAnsi="Times New Roman"/>
              <w:i/>
              <w:sz w:val="16"/>
            </w:rPr>
            <w:t>9</w:t>
          </w:r>
          <w:r>
            <w:rPr>
              <w:rFonts w:ascii="Times New Roman" w:hAnsi="Times New Roman"/>
              <w:i/>
              <w:sz w:val="16"/>
            </w:rPr>
            <w:t>/09</w:t>
          </w:r>
          <w:r w:rsidR="002D5F3B" w:rsidRPr="0094641A">
            <w:rPr>
              <w:rFonts w:ascii="Times New Roman" w:hAnsi="Times New Roman"/>
              <w:i/>
              <w:sz w:val="16"/>
            </w:rPr>
            <w:t>/201</w:t>
          </w:r>
          <w:r w:rsidR="0094641A" w:rsidRPr="0094641A">
            <w:rPr>
              <w:rFonts w:ascii="Times New Roman" w:hAnsi="Times New Roman"/>
              <w:i/>
              <w:sz w:val="16"/>
            </w:rPr>
            <w:t>8</w:t>
          </w:r>
        </w:p>
      </w:tc>
      <w:tc>
        <w:tcPr>
          <w:tcW w:w="443" w:type="dxa"/>
          <w:tcBorders>
            <w:top w:val="single" w:sz="6" w:space="0" w:color="auto"/>
            <w:left w:val="single" w:sz="6" w:space="0" w:color="auto"/>
            <w:bottom w:val="single" w:sz="6" w:space="0" w:color="auto"/>
            <w:right w:val="single" w:sz="6" w:space="0" w:color="auto"/>
          </w:tcBorders>
          <w:shd w:val="pct12" w:color="auto" w:fill="auto"/>
          <w:vAlign w:val="center"/>
        </w:tcPr>
        <w:p w:rsidR="00171099" w:rsidRPr="0094641A" w:rsidRDefault="00171099" w:rsidP="00713658">
          <w:pPr>
            <w:pStyle w:val="RdaliaPieddepage"/>
            <w:jc w:val="right"/>
            <w:rPr>
              <w:rFonts w:ascii="Times New Roman" w:hAnsi="Times New Roman"/>
              <w:i/>
              <w:sz w:val="16"/>
            </w:rPr>
          </w:pPr>
        </w:p>
      </w:tc>
      <w:tc>
        <w:tcPr>
          <w:tcW w:w="879" w:type="dxa"/>
          <w:tcBorders>
            <w:top w:val="single" w:sz="6" w:space="0" w:color="auto"/>
            <w:left w:val="single" w:sz="6" w:space="0" w:color="auto"/>
            <w:bottom w:val="single" w:sz="6" w:space="0" w:color="auto"/>
            <w:right w:val="single" w:sz="6" w:space="0" w:color="auto"/>
          </w:tcBorders>
          <w:shd w:val="clear" w:color="auto" w:fill="FFFFFF"/>
          <w:vAlign w:val="center"/>
        </w:tcPr>
        <w:p w:rsidR="00171099" w:rsidRPr="0094641A" w:rsidRDefault="00B30422" w:rsidP="00713658">
          <w:pPr>
            <w:pStyle w:val="RdaliaPieddepage"/>
            <w:jc w:val="right"/>
            <w:rPr>
              <w:rFonts w:ascii="Times New Roman" w:hAnsi="Times New Roman"/>
              <w:i/>
              <w:sz w:val="16"/>
            </w:rPr>
          </w:pPr>
          <w:r w:rsidRPr="0094641A">
            <w:rPr>
              <w:rFonts w:ascii="Times New Roman" w:hAnsi="Times New Roman"/>
              <w:i/>
              <w:sz w:val="16"/>
            </w:rPr>
            <w:fldChar w:fldCharType="begin"/>
          </w:r>
          <w:r w:rsidR="00171099" w:rsidRPr="0094641A">
            <w:rPr>
              <w:rFonts w:ascii="Times New Roman" w:hAnsi="Times New Roman"/>
              <w:i/>
              <w:sz w:val="16"/>
            </w:rPr>
            <w:instrText xml:space="preserve"> PAGE  \* MERGEFORMAT </w:instrText>
          </w:r>
          <w:r w:rsidRPr="0094641A">
            <w:rPr>
              <w:rFonts w:ascii="Times New Roman" w:hAnsi="Times New Roman"/>
              <w:i/>
              <w:sz w:val="16"/>
            </w:rPr>
            <w:fldChar w:fldCharType="separate"/>
          </w:r>
          <w:r w:rsidR="0047305B">
            <w:rPr>
              <w:rFonts w:ascii="Times New Roman" w:hAnsi="Times New Roman"/>
              <w:i/>
              <w:noProof/>
              <w:sz w:val="16"/>
            </w:rPr>
            <w:t>2</w:t>
          </w:r>
          <w:r w:rsidRPr="0094641A">
            <w:rPr>
              <w:rFonts w:ascii="Times New Roman" w:hAnsi="Times New Roman"/>
              <w:i/>
              <w:sz w:val="16"/>
            </w:rPr>
            <w:fldChar w:fldCharType="end"/>
          </w:r>
          <w:r w:rsidR="00171099" w:rsidRPr="0094641A">
            <w:rPr>
              <w:rFonts w:ascii="Times New Roman" w:hAnsi="Times New Roman"/>
              <w:i/>
              <w:sz w:val="16"/>
            </w:rPr>
            <w:t xml:space="preserve"> / </w:t>
          </w:r>
          <w:r w:rsidR="0081441F" w:rsidRPr="0094641A">
            <w:rPr>
              <w:rFonts w:ascii="Times New Roman" w:hAnsi="Times New Roman"/>
            </w:rPr>
            <w:fldChar w:fldCharType="begin"/>
          </w:r>
          <w:r w:rsidR="0081441F" w:rsidRPr="0094641A">
            <w:rPr>
              <w:rFonts w:ascii="Times New Roman" w:hAnsi="Times New Roman"/>
            </w:rPr>
            <w:instrText xml:space="preserve"> SECTIONPAGES  \* MERGEFORMAT </w:instrText>
          </w:r>
          <w:r w:rsidR="0081441F" w:rsidRPr="0094641A">
            <w:rPr>
              <w:rFonts w:ascii="Times New Roman" w:hAnsi="Times New Roman"/>
            </w:rPr>
            <w:fldChar w:fldCharType="separate"/>
          </w:r>
          <w:r w:rsidR="0047305B" w:rsidRPr="0047305B">
            <w:rPr>
              <w:rFonts w:ascii="Times New Roman" w:hAnsi="Times New Roman"/>
              <w:i/>
              <w:noProof/>
              <w:sz w:val="16"/>
            </w:rPr>
            <w:t>7</w:t>
          </w:r>
          <w:r w:rsidR="0081441F" w:rsidRPr="0094641A">
            <w:rPr>
              <w:rFonts w:ascii="Times New Roman" w:hAnsi="Times New Roman"/>
              <w:i/>
              <w:noProof/>
              <w:sz w:val="16"/>
            </w:rPr>
            <w:fldChar w:fldCharType="end"/>
          </w:r>
        </w:p>
      </w:tc>
    </w:tr>
  </w:tbl>
  <w:p w:rsidR="00171099" w:rsidRDefault="00171099" w:rsidP="008A37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99" w:rsidRDefault="00171099" w:rsidP="00AF1839">
      <w:r>
        <w:separator/>
      </w:r>
    </w:p>
  </w:footnote>
  <w:footnote w:type="continuationSeparator" w:id="0">
    <w:p w:rsidR="00171099" w:rsidRDefault="00171099" w:rsidP="00AF1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B4E"/>
    <w:multiLevelType w:val="hybridMultilevel"/>
    <w:tmpl w:val="0C2C6AC4"/>
    <w:lvl w:ilvl="0" w:tplc="EE26E5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06A03"/>
    <w:multiLevelType w:val="hybridMultilevel"/>
    <w:tmpl w:val="A8FEBE9C"/>
    <w:lvl w:ilvl="0" w:tplc="6DBC30C0">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171777B1"/>
    <w:multiLevelType w:val="hybridMultilevel"/>
    <w:tmpl w:val="26E0CA78"/>
    <w:lvl w:ilvl="0" w:tplc="4B48849E">
      <w:numFmt w:val="bullet"/>
      <w:lvlText w:val="-"/>
      <w:lvlJc w:val="left"/>
      <w:pPr>
        <w:ind w:left="-240" w:hanging="360"/>
      </w:pPr>
      <w:rPr>
        <w:rFonts w:ascii="Calibri" w:eastAsia="Arial" w:hAnsi="Calibri" w:cs="Times New Roman" w:hint="default"/>
      </w:rPr>
    </w:lvl>
    <w:lvl w:ilvl="1" w:tplc="040C0003" w:tentative="1">
      <w:start w:val="1"/>
      <w:numFmt w:val="bullet"/>
      <w:lvlText w:val="o"/>
      <w:lvlJc w:val="left"/>
      <w:pPr>
        <w:ind w:left="480" w:hanging="360"/>
      </w:pPr>
      <w:rPr>
        <w:rFonts w:ascii="Courier New" w:hAnsi="Courier New" w:cs="Courier New" w:hint="default"/>
      </w:rPr>
    </w:lvl>
    <w:lvl w:ilvl="2" w:tplc="040C0005" w:tentative="1">
      <w:start w:val="1"/>
      <w:numFmt w:val="bullet"/>
      <w:lvlText w:val=""/>
      <w:lvlJc w:val="left"/>
      <w:pPr>
        <w:ind w:left="1200" w:hanging="360"/>
      </w:pPr>
      <w:rPr>
        <w:rFonts w:ascii="Wingdings" w:hAnsi="Wingdings" w:hint="default"/>
      </w:rPr>
    </w:lvl>
    <w:lvl w:ilvl="3" w:tplc="040C0001" w:tentative="1">
      <w:start w:val="1"/>
      <w:numFmt w:val="bullet"/>
      <w:lvlText w:val=""/>
      <w:lvlJc w:val="left"/>
      <w:pPr>
        <w:ind w:left="1920" w:hanging="360"/>
      </w:pPr>
      <w:rPr>
        <w:rFonts w:ascii="Symbol" w:hAnsi="Symbol" w:hint="default"/>
      </w:rPr>
    </w:lvl>
    <w:lvl w:ilvl="4" w:tplc="040C0003" w:tentative="1">
      <w:start w:val="1"/>
      <w:numFmt w:val="bullet"/>
      <w:lvlText w:val="o"/>
      <w:lvlJc w:val="left"/>
      <w:pPr>
        <w:ind w:left="2640" w:hanging="360"/>
      </w:pPr>
      <w:rPr>
        <w:rFonts w:ascii="Courier New" w:hAnsi="Courier New" w:cs="Courier New" w:hint="default"/>
      </w:rPr>
    </w:lvl>
    <w:lvl w:ilvl="5" w:tplc="040C0005" w:tentative="1">
      <w:start w:val="1"/>
      <w:numFmt w:val="bullet"/>
      <w:lvlText w:val=""/>
      <w:lvlJc w:val="left"/>
      <w:pPr>
        <w:ind w:left="3360" w:hanging="360"/>
      </w:pPr>
      <w:rPr>
        <w:rFonts w:ascii="Wingdings" w:hAnsi="Wingdings" w:hint="default"/>
      </w:rPr>
    </w:lvl>
    <w:lvl w:ilvl="6" w:tplc="040C0001" w:tentative="1">
      <w:start w:val="1"/>
      <w:numFmt w:val="bullet"/>
      <w:lvlText w:val=""/>
      <w:lvlJc w:val="left"/>
      <w:pPr>
        <w:ind w:left="4080" w:hanging="360"/>
      </w:pPr>
      <w:rPr>
        <w:rFonts w:ascii="Symbol" w:hAnsi="Symbol" w:hint="default"/>
      </w:rPr>
    </w:lvl>
    <w:lvl w:ilvl="7" w:tplc="040C0003" w:tentative="1">
      <w:start w:val="1"/>
      <w:numFmt w:val="bullet"/>
      <w:lvlText w:val="o"/>
      <w:lvlJc w:val="left"/>
      <w:pPr>
        <w:ind w:left="4800" w:hanging="360"/>
      </w:pPr>
      <w:rPr>
        <w:rFonts w:ascii="Courier New" w:hAnsi="Courier New" w:cs="Courier New" w:hint="default"/>
      </w:rPr>
    </w:lvl>
    <w:lvl w:ilvl="8" w:tplc="040C0005" w:tentative="1">
      <w:start w:val="1"/>
      <w:numFmt w:val="bullet"/>
      <w:lvlText w:val=""/>
      <w:lvlJc w:val="left"/>
      <w:pPr>
        <w:ind w:left="5520" w:hanging="360"/>
      </w:pPr>
      <w:rPr>
        <w:rFonts w:ascii="Wingdings" w:hAnsi="Wingdings" w:hint="default"/>
      </w:rPr>
    </w:lvl>
  </w:abstractNum>
  <w:abstractNum w:abstractNumId="3" w15:restartNumberingAfterBreak="0">
    <w:nsid w:val="176E1E63"/>
    <w:multiLevelType w:val="hybridMultilevel"/>
    <w:tmpl w:val="FBF6B99A"/>
    <w:lvl w:ilvl="0" w:tplc="6DBC30C0">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8FA7131"/>
    <w:multiLevelType w:val="hybridMultilevel"/>
    <w:tmpl w:val="5A8C2BD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15:restartNumberingAfterBreak="0">
    <w:nsid w:val="24B864D2"/>
    <w:multiLevelType w:val="hybridMultilevel"/>
    <w:tmpl w:val="229E6A7C"/>
    <w:lvl w:ilvl="0" w:tplc="BFBC3658">
      <w:start w:val="1"/>
      <w:numFmt w:val="lowerLetter"/>
      <w:lvlText w:val="%1)"/>
      <w:lvlJc w:val="left"/>
      <w:pPr>
        <w:ind w:left="2062" w:hanging="360"/>
      </w:pPr>
      <w:rPr>
        <w:rFonts w:hint="default"/>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6" w15:restartNumberingAfterBreak="0">
    <w:nsid w:val="291D7191"/>
    <w:multiLevelType w:val="hybridMultilevel"/>
    <w:tmpl w:val="FC2CC1F8"/>
    <w:lvl w:ilvl="0" w:tplc="43C41FFA">
      <w:start w:val="1"/>
      <w:numFmt w:val="decimal"/>
      <w:lvlText w:val="%1)"/>
      <w:lvlJc w:val="left"/>
      <w:pPr>
        <w:tabs>
          <w:tab w:val="num" w:pos="2061"/>
        </w:tabs>
        <w:ind w:left="2061" w:hanging="360"/>
      </w:pPr>
      <w:rPr>
        <w:rFonts w:hint="default"/>
      </w:rPr>
    </w:lvl>
    <w:lvl w:ilvl="1" w:tplc="040C0019" w:tentative="1">
      <w:start w:val="1"/>
      <w:numFmt w:val="lowerLetter"/>
      <w:lvlText w:val="%2."/>
      <w:lvlJc w:val="left"/>
      <w:pPr>
        <w:tabs>
          <w:tab w:val="num" w:pos="2781"/>
        </w:tabs>
        <w:ind w:left="2781" w:hanging="360"/>
      </w:pPr>
    </w:lvl>
    <w:lvl w:ilvl="2" w:tplc="040C001B" w:tentative="1">
      <w:start w:val="1"/>
      <w:numFmt w:val="lowerRoman"/>
      <w:lvlText w:val="%3."/>
      <w:lvlJc w:val="right"/>
      <w:pPr>
        <w:tabs>
          <w:tab w:val="num" w:pos="3501"/>
        </w:tabs>
        <w:ind w:left="3501" w:hanging="180"/>
      </w:pPr>
    </w:lvl>
    <w:lvl w:ilvl="3" w:tplc="040C000F" w:tentative="1">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abstractNum w:abstractNumId="7" w15:restartNumberingAfterBreak="0">
    <w:nsid w:val="38303DF8"/>
    <w:multiLevelType w:val="hybridMultilevel"/>
    <w:tmpl w:val="EAE01796"/>
    <w:lvl w:ilvl="0" w:tplc="E32E0AFC">
      <w:start w:val="1"/>
      <w:numFmt w:val="lowerLetter"/>
      <w:lvlText w:val="%1)"/>
      <w:lvlJc w:val="left"/>
      <w:pPr>
        <w:ind w:left="2422" w:hanging="360"/>
      </w:pPr>
      <w:rPr>
        <w:rFonts w:hint="default"/>
      </w:rPr>
    </w:lvl>
    <w:lvl w:ilvl="1" w:tplc="040C0019" w:tentative="1">
      <w:start w:val="1"/>
      <w:numFmt w:val="lowerLetter"/>
      <w:lvlText w:val="%2."/>
      <w:lvlJc w:val="left"/>
      <w:pPr>
        <w:ind w:left="3142" w:hanging="360"/>
      </w:pPr>
    </w:lvl>
    <w:lvl w:ilvl="2" w:tplc="040C001B" w:tentative="1">
      <w:start w:val="1"/>
      <w:numFmt w:val="lowerRoman"/>
      <w:lvlText w:val="%3."/>
      <w:lvlJc w:val="right"/>
      <w:pPr>
        <w:ind w:left="3862" w:hanging="180"/>
      </w:pPr>
    </w:lvl>
    <w:lvl w:ilvl="3" w:tplc="040C000F" w:tentative="1">
      <w:start w:val="1"/>
      <w:numFmt w:val="decimal"/>
      <w:lvlText w:val="%4."/>
      <w:lvlJc w:val="left"/>
      <w:pPr>
        <w:ind w:left="4582" w:hanging="360"/>
      </w:pPr>
    </w:lvl>
    <w:lvl w:ilvl="4" w:tplc="040C0019" w:tentative="1">
      <w:start w:val="1"/>
      <w:numFmt w:val="lowerLetter"/>
      <w:lvlText w:val="%5."/>
      <w:lvlJc w:val="left"/>
      <w:pPr>
        <w:ind w:left="5302" w:hanging="360"/>
      </w:pPr>
    </w:lvl>
    <w:lvl w:ilvl="5" w:tplc="040C001B" w:tentative="1">
      <w:start w:val="1"/>
      <w:numFmt w:val="lowerRoman"/>
      <w:lvlText w:val="%6."/>
      <w:lvlJc w:val="right"/>
      <w:pPr>
        <w:ind w:left="6022" w:hanging="180"/>
      </w:pPr>
    </w:lvl>
    <w:lvl w:ilvl="6" w:tplc="040C000F" w:tentative="1">
      <w:start w:val="1"/>
      <w:numFmt w:val="decimal"/>
      <w:lvlText w:val="%7."/>
      <w:lvlJc w:val="left"/>
      <w:pPr>
        <w:ind w:left="6742" w:hanging="360"/>
      </w:pPr>
    </w:lvl>
    <w:lvl w:ilvl="7" w:tplc="040C0019" w:tentative="1">
      <w:start w:val="1"/>
      <w:numFmt w:val="lowerLetter"/>
      <w:lvlText w:val="%8."/>
      <w:lvlJc w:val="left"/>
      <w:pPr>
        <w:ind w:left="7462" w:hanging="360"/>
      </w:pPr>
    </w:lvl>
    <w:lvl w:ilvl="8" w:tplc="040C001B" w:tentative="1">
      <w:start w:val="1"/>
      <w:numFmt w:val="lowerRoman"/>
      <w:lvlText w:val="%9."/>
      <w:lvlJc w:val="right"/>
      <w:pPr>
        <w:ind w:left="8182" w:hanging="180"/>
      </w:pPr>
    </w:lvl>
  </w:abstractNum>
  <w:abstractNum w:abstractNumId="8" w15:restartNumberingAfterBreak="0">
    <w:nsid w:val="38392A52"/>
    <w:multiLevelType w:val="hybridMultilevel"/>
    <w:tmpl w:val="170EB532"/>
    <w:lvl w:ilvl="0" w:tplc="DE9E0C9C">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4E725EF"/>
    <w:multiLevelType w:val="hybridMultilevel"/>
    <w:tmpl w:val="D652B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A86927"/>
    <w:multiLevelType w:val="hybridMultilevel"/>
    <w:tmpl w:val="70526C08"/>
    <w:lvl w:ilvl="0" w:tplc="65F83E00">
      <w:start w:val="3"/>
      <w:numFmt w:val="bullet"/>
      <w:lvlText w:val="-"/>
      <w:lvlJc w:val="left"/>
      <w:pPr>
        <w:tabs>
          <w:tab w:val="num" w:pos="2062"/>
        </w:tabs>
        <w:ind w:left="2062" w:hanging="360"/>
      </w:pPr>
      <w:rPr>
        <w:rFonts w:ascii="Lucida Bright" w:eastAsia="Times New Roman" w:hAnsi="Lucida Bright" w:cs="Times New Roman" w:hint="default"/>
      </w:rPr>
    </w:lvl>
    <w:lvl w:ilvl="1" w:tplc="068458BC">
      <w:start w:val="2"/>
      <w:numFmt w:val="bullet"/>
      <w:lvlText w:val=""/>
      <w:lvlJc w:val="left"/>
      <w:pPr>
        <w:tabs>
          <w:tab w:val="num" w:pos="2782"/>
        </w:tabs>
        <w:ind w:left="2782" w:hanging="360"/>
      </w:pPr>
      <w:rPr>
        <w:rFonts w:ascii="Wingdings" w:eastAsia="Times New Roman" w:hAnsi="Wingdings" w:cs="Times New Roman" w:hint="default"/>
      </w:rPr>
    </w:lvl>
    <w:lvl w:ilvl="2" w:tplc="040C0005" w:tentative="1">
      <w:start w:val="1"/>
      <w:numFmt w:val="bullet"/>
      <w:lvlText w:val=""/>
      <w:lvlJc w:val="left"/>
      <w:pPr>
        <w:tabs>
          <w:tab w:val="num" w:pos="3502"/>
        </w:tabs>
        <w:ind w:left="3502" w:hanging="360"/>
      </w:pPr>
      <w:rPr>
        <w:rFonts w:ascii="Wingdings" w:hAnsi="Wingdings" w:hint="default"/>
      </w:rPr>
    </w:lvl>
    <w:lvl w:ilvl="3" w:tplc="040C0001" w:tentative="1">
      <w:start w:val="1"/>
      <w:numFmt w:val="bullet"/>
      <w:lvlText w:val=""/>
      <w:lvlJc w:val="left"/>
      <w:pPr>
        <w:tabs>
          <w:tab w:val="num" w:pos="4222"/>
        </w:tabs>
        <w:ind w:left="4222" w:hanging="360"/>
      </w:pPr>
      <w:rPr>
        <w:rFonts w:ascii="Symbol" w:hAnsi="Symbol" w:hint="default"/>
      </w:rPr>
    </w:lvl>
    <w:lvl w:ilvl="4" w:tplc="040C0003" w:tentative="1">
      <w:start w:val="1"/>
      <w:numFmt w:val="bullet"/>
      <w:lvlText w:val="o"/>
      <w:lvlJc w:val="left"/>
      <w:pPr>
        <w:tabs>
          <w:tab w:val="num" w:pos="4942"/>
        </w:tabs>
        <w:ind w:left="4942" w:hanging="360"/>
      </w:pPr>
      <w:rPr>
        <w:rFonts w:ascii="Courier New" w:hAnsi="Courier New" w:cs="Courier New" w:hint="default"/>
      </w:rPr>
    </w:lvl>
    <w:lvl w:ilvl="5" w:tplc="040C0005" w:tentative="1">
      <w:start w:val="1"/>
      <w:numFmt w:val="bullet"/>
      <w:lvlText w:val=""/>
      <w:lvlJc w:val="left"/>
      <w:pPr>
        <w:tabs>
          <w:tab w:val="num" w:pos="5662"/>
        </w:tabs>
        <w:ind w:left="5662" w:hanging="360"/>
      </w:pPr>
      <w:rPr>
        <w:rFonts w:ascii="Wingdings" w:hAnsi="Wingdings" w:hint="default"/>
      </w:rPr>
    </w:lvl>
    <w:lvl w:ilvl="6" w:tplc="040C0001" w:tentative="1">
      <w:start w:val="1"/>
      <w:numFmt w:val="bullet"/>
      <w:lvlText w:val=""/>
      <w:lvlJc w:val="left"/>
      <w:pPr>
        <w:tabs>
          <w:tab w:val="num" w:pos="6382"/>
        </w:tabs>
        <w:ind w:left="6382" w:hanging="360"/>
      </w:pPr>
      <w:rPr>
        <w:rFonts w:ascii="Symbol" w:hAnsi="Symbol" w:hint="default"/>
      </w:rPr>
    </w:lvl>
    <w:lvl w:ilvl="7" w:tplc="040C0003" w:tentative="1">
      <w:start w:val="1"/>
      <w:numFmt w:val="bullet"/>
      <w:lvlText w:val="o"/>
      <w:lvlJc w:val="left"/>
      <w:pPr>
        <w:tabs>
          <w:tab w:val="num" w:pos="7102"/>
        </w:tabs>
        <w:ind w:left="7102" w:hanging="360"/>
      </w:pPr>
      <w:rPr>
        <w:rFonts w:ascii="Courier New" w:hAnsi="Courier New" w:cs="Courier New" w:hint="default"/>
      </w:rPr>
    </w:lvl>
    <w:lvl w:ilvl="8" w:tplc="040C0005" w:tentative="1">
      <w:start w:val="1"/>
      <w:numFmt w:val="bullet"/>
      <w:lvlText w:val=""/>
      <w:lvlJc w:val="left"/>
      <w:pPr>
        <w:tabs>
          <w:tab w:val="num" w:pos="7822"/>
        </w:tabs>
        <w:ind w:left="7822" w:hanging="360"/>
      </w:pPr>
      <w:rPr>
        <w:rFonts w:ascii="Wingdings" w:hAnsi="Wingdings" w:hint="default"/>
      </w:rPr>
    </w:lvl>
  </w:abstractNum>
  <w:abstractNum w:abstractNumId="11" w15:restartNumberingAfterBreak="0">
    <w:nsid w:val="53D904AC"/>
    <w:multiLevelType w:val="hybridMultilevel"/>
    <w:tmpl w:val="C69A7BD0"/>
    <w:lvl w:ilvl="0" w:tplc="C14E69BC">
      <w:start w:val="3"/>
      <w:numFmt w:val="bullet"/>
      <w:lvlText w:val="-"/>
      <w:lvlJc w:val="left"/>
      <w:pPr>
        <w:tabs>
          <w:tab w:val="num" w:pos="2062"/>
        </w:tabs>
        <w:ind w:left="2062" w:hanging="360"/>
      </w:pPr>
      <w:rPr>
        <w:rFonts w:ascii="Lucida Bright" w:eastAsia="Times New Roman" w:hAnsi="Lucida Bright" w:cs="Times New Roman" w:hint="default"/>
      </w:rPr>
    </w:lvl>
    <w:lvl w:ilvl="1" w:tplc="040C0003" w:tentative="1">
      <w:start w:val="1"/>
      <w:numFmt w:val="bullet"/>
      <w:lvlText w:val="o"/>
      <w:lvlJc w:val="left"/>
      <w:pPr>
        <w:tabs>
          <w:tab w:val="num" w:pos="2782"/>
        </w:tabs>
        <w:ind w:left="2782" w:hanging="360"/>
      </w:pPr>
      <w:rPr>
        <w:rFonts w:ascii="Courier New" w:hAnsi="Courier New" w:cs="Courier New" w:hint="default"/>
      </w:rPr>
    </w:lvl>
    <w:lvl w:ilvl="2" w:tplc="040C0005" w:tentative="1">
      <w:start w:val="1"/>
      <w:numFmt w:val="bullet"/>
      <w:lvlText w:val=""/>
      <w:lvlJc w:val="left"/>
      <w:pPr>
        <w:tabs>
          <w:tab w:val="num" w:pos="3502"/>
        </w:tabs>
        <w:ind w:left="3502" w:hanging="360"/>
      </w:pPr>
      <w:rPr>
        <w:rFonts w:ascii="Wingdings" w:hAnsi="Wingdings" w:hint="default"/>
      </w:rPr>
    </w:lvl>
    <w:lvl w:ilvl="3" w:tplc="040C0001" w:tentative="1">
      <w:start w:val="1"/>
      <w:numFmt w:val="bullet"/>
      <w:lvlText w:val=""/>
      <w:lvlJc w:val="left"/>
      <w:pPr>
        <w:tabs>
          <w:tab w:val="num" w:pos="4222"/>
        </w:tabs>
        <w:ind w:left="4222" w:hanging="360"/>
      </w:pPr>
      <w:rPr>
        <w:rFonts w:ascii="Symbol" w:hAnsi="Symbol" w:hint="default"/>
      </w:rPr>
    </w:lvl>
    <w:lvl w:ilvl="4" w:tplc="040C0003" w:tentative="1">
      <w:start w:val="1"/>
      <w:numFmt w:val="bullet"/>
      <w:lvlText w:val="o"/>
      <w:lvlJc w:val="left"/>
      <w:pPr>
        <w:tabs>
          <w:tab w:val="num" w:pos="4942"/>
        </w:tabs>
        <w:ind w:left="4942" w:hanging="360"/>
      </w:pPr>
      <w:rPr>
        <w:rFonts w:ascii="Courier New" w:hAnsi="Courier New" w:cs="Courier New" w:hint="default"/>
      </w:rPr>
    </w:lvl>
    <w:lvl w:ilvl="5" w:tplc="040C0005" w:tentative="1">
      <w:start w:val="1"/>
      <w:numFmt w:val="bullet"/>
      <w:lvlText w:val=""/>
      <w:lvlJc w:val="left"/>
      <w:pPr>
        <w:tabs>
          <w:tab w:val="num" w:pos="5662"/>
        </w:tabs>
        <w:ind w:left="5662" w:hanging="360"/>
      </w:pPr>
      <w:rPr>
        <w:rFonts w:ascii="Wingdings" w:hAnsi="Wingdings" w:hint="default"/>
      </w:rPr>
    </w:lvl>
    <w:lvl w:ilvl="6" w:tplc="040C0001" w:tentative="1">
      <w:start w:val="1"/>
      <w:numFmt w:val="bullet"/>
      <w:lvlText w:val=""/>
      <w:lvlJc w:val="left"/>
      <w:pPr>
        <w:tabs>
          <w:tab w:val="num" w:pos="6382"/>
        </w:tabs>
        <w:ind w:left="6382" w:hanging="360"/>
      </w:pPr>
      <w:rPr>
        <w:rFonts w:ascii="Symbol" w:hAnsi="Symbol" w:hint="default"/>
      </w:rPr>
    </w:lvl>
    <w:lvl w:ilvl="7" w:tplc="040C0003" w:tentative="1">
      <w:start w:val="1"/>
      <w:numFmt w:val="bullet"/>
      <w:lvlText w:val="o"/>
      <w:lvlJc w:val="left"/>
      <w:pPr>
        <w:tabs>
          <w:tab w:val="num" w:pos="7102"/>
        </w:tabs>
        <w:ind w:left="7102" w:hanging="360"/>
      </w:pPr>
      <w:rPr>
        <w:rFonts w:ascii="Courier New" w:hAnsi="Courier New" w:cs="Courier New" w:hint="default"/>
      </w:rPr>
    </w:lvl>
    <w:lvl w:ilvl="8" w:tplc="040C0005" w:tentative="1">
      <w:start w:val="1"/>
      <w:numFmt w:val="bullet"/>
      <w:lvlText w:val=""/>
      <w:lvlJc w:val="left"/>
      <w:pPr>
        <w:tabs>
          <w:tab w:val="num" w:pos="7822"/>
        </w:tabs>
        <w:ind w:left="7822" w:hanging="360"/>
      </w:pPr>
      <w:rPr>
        <w:rFonts w:ascii="Wingdings" w:hAnsi="Wingdings" w:hint="default"/>
      </w:rPr>
    </w:lvl>
  </w:abstractNum>
  <w:abstractNum w:abstractNumId="12" w15:restartNumberingAfterBreak="0">
    <w:nsid w:val="5C771063"/>
    <w:multiLevelType w:val="hybridMultilevel"/>
    <w:tmpl w:val="33F6C146"/>
    <w:lvl w:ilvl="0" w:tplc="07348FAC">
      <w:numFmt w:val="bullet"/>
      <w:lvlText w:val="-"/>
      <w:lvlJc w:val="left"/>
      <w:pPr>
        <w:ind w:left="1497" w:hanging="360"/>
      </w:pPr>
      <w:rPr>
        <w:rFonts w:ascii="Times New Roman" w:eastAsia="Times New Roman" w:hAnsi="Times New Roman" w:cs="Times New Roman" w:hint="default"/>
      </w:rPr>
    </w:lvl>
    <w:lvl w:ilvl="1" w:tplc="040C0003" w:tentative="1">
      <w:start w:val="1"/>
      <w:numFmt w:val="bullet"/>
      <w:lvlText w:val="o"/>
      <w:lvlJc w:val="left"/>
      <w:pPr>
        <w:ind w:left="2217" w:hanging="360"/>
      </w:pPr>
      <w:rPr>
        <w:rFonts w:ascii="Courier New" w:hAnsi="Courier New" w:cs="Courier New" w:hint="default"/>
      </w:rPr>
    </w:lvl>
    <w:lvl w:ilvl="2" w:tplc="040C0005" w:tentative="1">
      <w:start w:val="1"/>
      <w:numFmt w:val="bullet"/>
      <w:lvlText w:val=""/>
      <w:lvlJc w:val="left"/>
      <w:pPr>
        <w:ind w:left="2937" w:hanging="360"/>
      </w:pPr>
      <w:rPr>
        <w:rFonts w:ascii="Wingdings" w:hAnsi="Wingdings" w:hint="default"/>
      </w:rPr>
    </w:lvl>
    <w:lvl w:ilvl="3" w:tplc="040C0001" w:tentative="1">
      <w:start w:val="1"/>
      <w:numFmt w:val="bullet"/>
      <w:lvlText w:val=""/>
      <w:lvlJc w:val="left"/>
      <w:pPr>
        <w:ind w:left="3657" w:hanging="360"/>
      </w:pPr>
      <w:rPr>
        <w:rFonts w:ascii="Symbol" w:hAnsi="Symbol" w:hint="default"/>
      </w:rPr>
    </w:lvl>
    <w:lvl w:ilvl="4" w:tplc="040C0003" w:tentative="1">
      <w:start w:val="1"/>
      <w:numFmt w:val="bullet"/>
      <w:lvlText w:val="o"/>
      <w:lvlJc w:val="left"/>
      <w:pPr>
        <w:ind w:left="4377" w:hanging="360"/>
      </w:pPr>
      <w:rPr>
        <w:rFonts w:ascii="Courier New" w:hAnsi="Courier New" w:cs="Courier New" w:hint="default"/>
      </w:rPr>
    </w:lvl>
    <w:lvl w:ilvl="5" w:tplc="040C0005" w:tentative="1">
      <w:start w:val="1"/>
      <w:numFmt w:val="bullet"/>
      <w:lvlText w:val=""/>
      <w:lvlJc w:val="left"/>
      <w:pPr>
        <w:ind w:left="5097" w:hanging="360"/>
      </w:pPr>
      <w:rPr>
        <w:rFonts w:ascii="Wingdings" w:hAnsi="Wingdings" w:hint="default"/>
      </w:rPr>
    </w:lvl>
    <w:lvl w:ilvl="6" w:tplc="040C0001" w:tentative="1">
      <w:start w:val="1"/>
      <w:numFmt w:val="bullet"/>
      <w:lvlText w:val=""/>
      <w:lvlJc w:val="left"/>
      <w:pPr>
        <w:ind w:left="5817" w:hanging="360"/>
      </w:pPr>
      <w:rPr>
        <w:rFonts w:ascii="Symbol" w:hAnsi="Symbol" w:hint="default"/>
      </w:rPr>
    </w:lvl>
    <w:lvl w:ilvl="7" w:tplc="040C0003" w:tentative="1">
      <w:start w:val="1"/>
      <w:numFmt w:val="bullet"/>
      <w:lvlText w:val="o"/>
      <w:lvlJc w:val="left"/>
      <w:pPr>
        <w:ind w:left="6537" w:hanging="360"/>
      </w:pPr>
      <w:rPr>
        <w:rFonts w:ascii="Courier New" w:hAnsi="Courier New" w:cs="Courier New" w:hint="default"/>
      </w:rPr>
    </w:lvl>
    <w:lvl w:ilvl="8" w:tplc="040C0005" w:tentative="1">
      <w:start w:val="1"/>
      <w:numFmt w:val="bullet"/>
      <w:lvlText w:val=""/>
      <w:lvlJc w:val="left"/>
      <w:pPr>
        <w:ind w:left="7257" w:hanging="360"/>
      </w:pPr>
      <w:rPr>
        <w:rFonts w:ascii="Wingdings" w:hAnsi="Wingdings" w:hint="default"/>
      </w:rPr>
    </w:lvl>
  </w:abstractNum>
  <w:abstractNum w:abstractNumId="13" w15:restartNumberingAfterBreak="0">
    <w:nsid w:val="5E924FC4"/>
    <w:multiLevelType w:val="hybridMultilevel"/>
    <w:tmpl w:val="BB205A4C"/>
    <w:lvl w:ilvl="0" w:tplc="6DBC30C0">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6ADF2E8F"/>
    <w:multiLevelType w:val="hybridMultilevel"/>
    <w:tmpl w:val="81808410"/>
    <w:lvl w:ilvl="0" w:tplc="92C636BE">
      <w:start w:val="1"/>
      <w:numFmt w:val="decimal"/>
      <w:lvlText w:val="%1)"/>
      <w:lvlJc w:val="left"/>
      <w:pPr>
        <w:tabs>
          <w:tab w:val="num" w:pos="2061"/>
        </w:tabs>
        <w:ind w:left="2061" w:hanging="360"/>
      </w:pPr>
      <w:rPr>
        <w:rFonts w:hint="default"/>
      </w:rPr>
    </w:lvl>
    <w:lvl w:ilvl="1" w:tplc="040C0019" w:tentative="1">
      <w:start w:val="1"/>
      <w:numFmt w:val="lowerLetter"/>
      <w:lvlText w:val="%2."/>
      <w:lvlJc w:val="left"/>
      <w:pPr>
        <w:tabs>
          <w:tab w:val="num" w:pos="2781"/>
        </w:tabs>
        <w:ind w:left="2781" w:hanging="360"/>
      </w:pPr>
    </w:lvl>
    <w:lvl w:ilvl="2" w:tplc="040C001B" w:tentative="1">
      <w:start w:val="1"/>
      <w:numFmt w:val="lowerRoman"/>
      <w:lvlText w:val="%3."/>
      <w:lvlJc w:val="right"/>
      <w:pPr>
        <w:tabs>
          <w:tab w:val="num" w:pos="3501"/>
        </w:tabs>
        <w:ind w:left="3501" w:hanging="180"/>
      </w:pPr>
    </w:lvl>
    <w:lvl w:ilvl="3" w:tplc="040C000F" w:tentative="1">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abstractNum w:abstractNumId="15" w15:restartNumberingAfterBreak="0">
    <w:nsid w:val="6EAB7721"/>
    <w:multiLevelType w:val="hybridMultilevel"/>
    <w:tmpl w:val="0C8EFD30"/>
    <w:lvl w:ilvl="0" w:tplc="4B48849E">
      <w:numFmt w:val="bullet"/>
      <w:lvlText w:val="-"/>
      <w:lvlJc w:val="left"/>
      <w:pPr>
        <w:ind w:left="-24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1B0E24"/>
    <w:multiLevelType w:val="multilevel"/>
    <w:tmpl w:val="55F40AE0"/>
    <w:lvl w:ilvl="0">
      <w:start w:val="1"/>
      <w:numFmt w:val="decimal"/>
      <w:lvlText w:val="%1"/>
      <w:lvlJc w:val="left"/>
      <w:pPr>
        <w:ind w:left="420" w:hanging="420"/>
      </w:pPr>
      <w:rPr>
        <w:rFonts w:hint="default"/>
        <w:b/>
      </w:rPr>
    </w:lvl>
    <w:lvl w:ilvl="1">
      <w:start w:val="1"/>
      <w:numFmt w:val="decimal"/>
      <w:lvlText w:val="%1.%2"/>
      <w:lvlJc w:val="left"/>
      <w:pPr>
        <w:ind w:left="2263" w:hanging="420"/>
      </w:pPr>
      <w:rPr>
        <w:rFonts w:hint="default"/>
        <w:b/>
      </w:rPr>
    </w:lvl>
    <w:lvl w:ilvl="2">
      <w:start w:val="1"/>
      <w:numFmt w:val="decimal"/>
      <w:lvlText w:val="%1.%2.%3"/>
      <w:lvlJc w:val="left"/>
      <w:pPr>
        <w:ind w:left="4406" w:hanging="720"/>
      </w:pPr>
      <w:rPr>
        <w:rFonts w:hint="default"/>
        <w:b/>
      </w:rPr>
    </w:lvl>
    <w:lvl w:ilvl="3">
      <w:start w:val="1"/>
      <w:numFmt w:val="decimal"/>
      <w:lvlText w:val="%1.%2.%3.%4"/>
      <w:lvlJc w:val="left"/>
      <w:pPr>
        <w:ind w:left="6249" w:hanging="720"/>
      </w:pPr>
      <w:rPr>
        <w:rFonts w:hint="default"/>
        <w:b/>
      </w:rPr>
    </w:lvl>
    <w:lvl w:ilvl="4">
      <w:start w:val="1"/>
      <w:numFmt w:val="decimal"/>
      <w:lvlText w:val="%1.%2.%3.%4.%5"/>
      <w:lvlJc w:val="left"/>
      <w:pPr>
        <w:ind w:left="8452" w:hanging="1080"/>
      </w:pPr>
      <w:rPr>
        <w:rFonts w:hint="default"/>
        <w:b/>
      </w:rPr>
    </w:lvl>
    <w:lvl w:ilvl="5">
      <w:start w:val="1"/>
      <w:numFmt w:val="decimal"/>
      <w:lvlText w:val="%1.%2.%3.%4.%5.%6"/>
      <w:lvlJc w:val="left"/>
      <w:pPr>
        <w:ind w:left="10295" w:hanging="1080"/>
      </w:pPr>
      <w:rPr>
        <w:rFonts w:hint="default"/>
        <w:b/>
      </w:rPr>
    </w:lvl>
    <w:lvl w:ilvl="6">
      <w:start w:val="1"/>
      <w:numFmt w:val="decimal"/>
      <w:lvlText w:val="%1.%2.%3.%4.%5.%6.%7"/>
      <w:lvlJc w:val="left"/>
      <w:pPr>
        <w:ind w:left="12498" w:hanging="1440"/>
      </w:pPr>
      <w:rPr>
        <w:rFonts w:hint="default"/>
        <w:b/>
      </w:rPr>
    </w:lvl>
    <w:lvl w:ilvl="7">
      <w:start w:val="1"/>
      <w:numFmt w:val="decimal"/>
      <w:lvlText w:val="%1.%2.%3.%4.%5.%6.%7.%8"/>
      <w:lvlJc w:val="left"/>
      <w:pPr>
        <w:ind w:left="14341" w:hanging="1440"/>
      </w:pPr>
      <w:rPr>
        <w:rFonts w:hint="default"/>
        <w:b/>
      </w:rPr>
    </w:lvl>
    <w:lvl w:ilvl="8">
      <w:start w:val="1"/>
      <w:numFmt w:val="decimal"/>
      <w:lvlText w:val="%1.%2.%3.%4.%5.%6.%7.%8.%9"/>
      <w:lvlJc w:val="left"/>
      <w:pPr>
        <w:ind w:left="16544" w:hanging="1800"/>
      </w:pPr>
      <w:rPr>
        <w:rFonts w:hint="default"/>
        <w:b/>
      </w:rPr>
    </w:lvl>
  </w:abstractNum>
  <w:abstractNum w:abstractNumId="17" w15:restartNumberingAfterBreak="0">
    <w:nsid w:val="79A20557"/>
    <w:multiLevelType w:val="hybridMultilevel"/>
    <w:tmpl w:val="54584D0C"/>
    <w:lvl w:ilvl="0" w:tplc="87CE6F2C">
      <w:start w:val="1"/>
      <w:numFmt w:val="decimal"/>
      <w:lvlText w:val="%1)"/>
      <w:lvlJc w:val="left"/>
      <w:pPr>
        <w:tabs>
          <w:tab w:val="num" w:pos="2061"/>
        </w:tabs>
        <w:ind w:left="2061" w:hanging="360"/>
      </w:pPr>
      <w:rPr>
        <w:rFonts w:hint="default"/>
      </w:rPr>
    </w:lvl>
    <w:lvl w:ilvl="1" w:tplc="040C0019" w:tentative="1">
      <w:start w:val="1"/>
      <w:numFmt w:val="lowerLetter"/>
      <w:lvlText w:val="%2."/>
      <w:lvlJc w:val="left"/>
      <w:pPr>
        <w:tabs>
          <w:tab w:val="num" w:pos="2781"/>
        </w:tabs>
        <w:ind w:left="2781" w:hanging="360"/>
      </w:pPr>
    </w:lvl>
    <w:lvl w:ilvl="2" w:tplc="040C001B" w:tentative="1">
      <w:start w:val="1"/>
      <w:numFmt w:val="lowerRoman"/>
      <w:lvlText w:val="%3."/>
      <w:lvlJc w:val="right"/>
      <w:pPr>
        <w:tabs>
          <w:tab w:val="num" w:pos="3501"/>
        </w:tabs>
        <w:ind w:left="3501" w:hanging="180"/>
      </w:pPr>
    </w:lvl>
    <w:lvl w:ilvl="3" w:tplc="040C000F" w:tentative="1">
      <w:start w:val="1"/>
      <w:numFmt w:val="decimal"/>
      <w:lvlText w:val="%4."/>
      <w:lvlJc w:val="left"/>
      <w:pPr>
        <w:tabs>
          <w:tab w:val="num" w:pos="4221"/>
        </w:tabs>
        <w:ind w:left="4221" w:hanging="360"/>
      </w:pPr>
    </w:lvl>
    <w:lvl w:ilvl="4" w:tplc="040C0019" w:tentative="1">
      <w:start w:val="1"/>
      <w:numFmt w:val="lowerLetter"/>
      <w:lvlText w:val="%5."/>
      <w:lvlJc w:val="left"/>
      <w:pPr>
        <w:tabs>
          <w:tab w:val="num" w:pos="4941"/>
        </w:tabs>
        <w:ind w:left="4941" w:hanging="360"/>
      </w:pPr>
    </w:lvl>
    <w:lvl w:ilvl="5" w:tplc="040C001B" w:tentative="1">
      <w:start w:val="1"/>
      <w:numFmt w:val="lowerRoman"/>
      <w:lvlText w:val="%6."/>
      <w:lvlJc w:val="right"/>
      <w:pPr>
        <w:tabs>
          <w:tab w:val="num" w:pos="5661"/>
        </w:tabs>
        <w:ind w:left="5661" w:hanging="180"/>
      </w:pPr>
    </w:lvl>
    <w:lvl w:ilvl="6" w:tplc="040C000F" w:tentative="1">
      <w:start w:val="1"/>
      <w:numFmt w:val="decimal"/>
      <w:lvlText w:val="%7."/>
      <w:lvlJc w:val="left"/>
      <w:pPr>
        <w:tabs>
          <w:tab w:val="num" w:pos="6381"/>
        </w:tabs>
        <w:ind w:left="6381" w:hanging="360"/>
      </w:pPr>
    </w:lvl>
    <w:lvl w:ilvl="7" w:tplc="040C0019" w:tentative="1">
      <w:start w:val="1"/>
      <w:numFmt w:val="lowerLetter"/>
      <w:lvlText w:val="%8."/>
      <w:lvlJc w:val="left"/>
      <w:pPr>
        <w:tabs>
          <w:tab w:val="num" w:pos="7101"/>
        </w:tabs>
        <w:ind w:left="7101" w:hanging="360"/>
      </w:pPr>
    </w:lvl>
    <w:lvl w:ilvl="8" w:tplc="040C001B" w:tentative="1">
      <w:start w:val="1"/>
      <w:numFmt w:val="lowerRoman"/>
      <w:lvlText w:val="%9."/>
      <w:lvlJc w:val="right"/>
      <w:pPr>
        <w:tabs>
          <w:tab w:val="num" w:pos="7821"/>
        </w:tabs>
        <w:ind w:left="7821" w:hanging="180"/>
      </w:pPr>
    </w:lvl>
  </w:abstractNum>
  <w:num w:numId="1">
    <w:abstractNumId w:val="11"/>
  </w:num>
  <w:num w:numId="2">
    <w:abstractNumId w:val="10"/>
  </w:num>
  <w:num w:numId="3">
    <w:abstractNumId w:val="14"/>
  </w:num>
  <w:num w:numId="4">
    <w:abstractNumId w:val="17"/>
  </w:num>
  <w:num w:numId="5">
    <w:abstractNumId w:val="6"/>
  </w:num>
  <w:num w:numId="6">
    <w:abstractNumId w:val="16"/>
  </w:num>
  <w:num w:numId="7">
    <w:abstractNumId w:val="4"/>
  </w:num>
  <w:num w:numId="8">
    <w:abstractNumId w:val="5"/>
  </w:num>
  <w:num w:numId="9">
    <w:abstractNumId w:val="7"/>
  </w:num>
  <w:num w:numId="10">
    <w:abstractNumId w:val="3"/>
  </w:num>
  <w:num w:numId="11">
    <w:abstractNumId w:val="12"/>
  </w:num>
  <w:num w:numId="12">
    <w:abstractNumId w:val="13"/>
  </w:num>
  <w:num w:numId="13">
    <w:abstractNumId w:val="8"/>
  </w:num>
  <w:num w:numId="14">
    <w:abstractNumId w:val="1"/>
  </w:num>
  <w:num w:numId="15">
    <w:abstractNumId w:val="2"/>
  </w:num>
  <w:num w:numId="16">
    <w:abstractNumId w:val="1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2"/>
    <w:rsid w:val="000061EB"/>
    <w:rsid w:val="000073EB"/>
    <w:rsid w:val="000151E9"/>
    <w:rsid w:val="00016FF8"/>
    <w:rsid w:val="000175AC"/>
    <w:rsid w:val="000178BB"/>
    <w:rsid w:val="00020F06"/>
    <w:rsid w:val="00022485"/>
    <w:rsid w:val="0002258B"/>
    <w:rsid w:val="0002469B"/>
    <w:rsid w:val="00027FA5"/>
    <w:rsid w:val="000330A7"/>
    <w:rsid w:val="00033E87"/>
    <w:rsid w:val="00035614"/>
    <w:rsid w:val="00037001"/>
    <w:rsid w:val="000437C7"/>
    <w:rsid w:val="00044D20"/>
    <w:rsid w:val="00052BC7"/>
    <w:rsid w:val="0006062B"/>
    <w:rsid w:val="0006442C"/>
    <w:rsid w:val="00064908"/>
    <w:rsid w:val="00065D15"/>
    <w:rsid w:val="00067620"/>
    <w:rsid w:val="000704CA"/>
    <w:rsid w:val="000705EA"/>
    <w:rsid w:val="00075CB9"/>
    <w:rsid w:val="000772C3"/>
    <w:rsid w:val="00081C1C"/>
    <w:rsid w:val="00083979"/>
    <w:rsid w:val="0008429E"/>
    <w:rsid w:val="00092DF2"/>
    <w:rsid w:val="00093834"/>
    <w:rsid w:val="000948A6"/>
    <w:rsid w:val="00095571"/>
    <w:rsid w:val="000A1CF9"/>
    <w:rsid w:val="000A1D31"/>
    <w:rsid w:val="000A38EC"/>
    <w:rsid w:val="000C644D"/>
    <w:rsid w:val="000D04E5"/>
    <w:rsid w:val="000D7985"/>
    <w:rsid w:val="000E2094"/>
    <w:rsid w:val="000E22A7"/>
    <w:rsid w:val="000E28FC"/>
    <w:rsid w:val="000E477A"/>
    <w:rsid w:val="000E5380"/>
    <w:rsid w:val="000E7C64"/>
    <w:rsid w:val="000E7E6E"/>
    <w:rsid w:val="000F24A5"/>
    <w:rsid w:val="000F36C0"/>
    <w:rsid w:val="000F3941"/>
    <w:rsid w:val="000F7527"/>
    <w:rsid w:val="00101F1A"/>
    <w:rsid w:val="00101FF5"/>
    <w:rsid w:val="00102610"/>
    <w:rsid w:val="0011065E"/>
    <w:rsid w:val="00110F19"/>
    <w:rsid w:val="00113880"/>
    <w:rsid w:val="0011503E"/>
    <w:rsid w:val="00115DA5"/>
    <w:rsid w:val="00117119"/>
    <w:rsid w:val="00126C43"/>
    <w:rsid w:val="00131BD1"/>
    <w:rsid w:val="00133E24"/>
    <w:rsid w:val="001353F6"/>
    <w:rsid w:val="001431B1"/>
    <w:rsid w:val="0014367E"/>
    <w:rsid w:val="001446DF"/>
    <w:rsid w:val="001459B0"/>
    <w:rsid w:val="0014710C"/>
    <w:rsid w:val="0016011B"/>
    <w:rsid w:val="00160C6C"/>
    <w:rsid w:val="00162BFB"/>
    <w:rsid w:val="001632C4"/>
    <w:rsid w:val="00166301"/>
    <w:rsid w:val="00171099"/>
    <w:rsid w:val="001722AC"/>
    <w:rsid w:val="00182881"/>
    <w:rsid w:val="00183619"/>
    <w:rsid w:val="00184C70"/>
    <w:rsid w:val="00194FC9"/>
    <w:rsid w:val="00195D5F"/>
    <w:rsid w:val="001A1902"/>
    <w:rsid w:val="001A449B"/>
    <w:rsid w:val="001A52D0"/>
    <w:rsid w:val="001A7850"/>
    <w:rsid w:val="001A7F11"/>
    <w:rsid w:val="001B1A69"/>
    <w:rsid w:val="001B792C"/>
    <w:rsid w:val="001C075C"/>
    <w:rsid w:val="001C3F54"/>
    <w:rsid w:val="001C7147"/>
    <w:rsid w:val="001C79F8"/>
    <w:rsid w:val="001D0CEB"/>
    <w:rsid w:val="001D2CD9"/>
    <w:rsid w:val="001D2FF0"/>
    <w:rsid w:val="001D47C5"/>
    <w:rsid w:val="001E012E"/>
    <w:rsid w:val="001E0D20"/>
    <w:rsid w:val="001E1C38"/>
    <w:rsid w:val="001E599F"/>
    <w:rsid w:val="001F2A02"/>
    <w:rsid w:val="001F3F06"/>
    <w:rsid w:val="001F4E4A"/>
    <w:rsid w:val="001F4FA0"/>
    <w:rsid w:val="001F5BCA"/>
    <w:rsid w:val="0020454A"/>
    <w:rsid w:val="00205177"/>
    <w:rsid w:val="002112B4"/>
    <w:rsid w:val="00211F60"/>
    <w:rsid w:val="002130D5"/>
    <w:rsid w:val="0022184C"/>
    <w:rsid w:val="00221CE9"/>
    <w:rsid w:val="00224BDB"/>
    <w:rsid w:val="00231C96"/>
    <w:rsid w:val="00232834"/>
    <w:rsid w:val="00234933"/>
    <w:rsid w:val="00235355"/>
    <w:rsid w:val="00252E3C"/>
    <w:rsid w:val="00254B10"/>
    <w:rsid w:val="00255081"/>
    <w:rsid w:val="00262303"/>
    <w:rsid w:val="00265EDF"/>
    <w:rsid w:val="00266455"/>
    <w:rsid w:val="00270F2C"/>
    <w:rsid w:val="00271778"/>
    <w:rsid w:val="002718B9"/>
    <w:rsid w:val="00280EF7"/>
    <w:rsid w:val="002810CA"/>
    <w:rsid w:val="00281770"/>
    <w:rsid w:val="00284E39"/>
    <w:rsid w:val="00285889"/>
    <w:rsid w:val="0028739B"/>
    <w:rsid w:val="00287FD4"/>
    <w:rsid w:val="00290A3C"/>
    <w:rsid w:val="002976C4"/>
    <w:rsid w:val="002A16B9"/>
    <w:rsid w:val="002A36CB"/>
    <w:rsid w:val="002A47E0"/>
    <w:rsid w:val="002A592D"/>
    <w:rsid w:val="002B0F1E"/>
    <w:rsid w:val="002B4190"/>
    <w:rsid w:val="002B4DAA"/>
    <w:rsid w:val="002B76DE"/>
    <w:rsid w:val="002B7979"/>
    <w:rsid w:val="002B7ECF"/>
    <w:rsid w:val="002C2CDF"/>
    <w:rsid w:val="002C3F90"/>
    <w:rsid w:val="002C69A7"/>
    <w:rsid w:val="002C6C12"/>
    <w:rsid w:val="002D0901"/>
    <w:rsid w:val="002D1135"/>
    <w:rsid w:val="002D37FE"/>
    <w:rsid w:val="002D5F3B"/>
    <w:rsid w:val="002E0AA4"/>
    <w:rsid w:val="002E5183"/>
    <w:rsid w:val="002E6413"/>
    <w:rsid w:val="002F2C63"/>
    <w:rsid w:val="002F345D"/>
    <w:rsid w:val="002F3678"/>
    <w:rsid w:val="002F367B"/>
    <w:rsid w:val="002F3BDE"/>
    <w:rsid w:val="002F6741"/>
    <w:rsid w:val="00302CE6"/>
    <w:rsid w:val="003056DB"/>
    <w:rsid w:val="00305F20"/>
    <w:rsid w:val="00312242"/>
    <w:rsid w:val="0031263B"/>
    <w:rsid w:val="003158E9"/>
    <w:rsid w:val="003210CE"/>
    <w:rsid w:val="0032165C"/>
    <w:rsid w:val="0032199F"/>
    <w:rsid w:val="00323A68"/>
    <w:rsid w:val="00323C91"/>
    <w:rsid w:val="00323F24"/>
    <w:rsid w:val="0032676A"/>
    <w:rsid w:val="00326F26"/>
    <w:rsid w:val="00327641"/>
    <w:rsid w:val="003302B8"/>
    <w:rsid w:val="00333DDA"/>
    <w:rsid w:val="00334D09"/>
    <w:rsid w:val="00337D13"/>
    <w:rsid w:val="003411A0"/>
    <w:rsid w:val="0034265B"/>
    <w:rsid w:val="00343345"/>
    <w:rsid w:val="00344EDF"/>
    <w:rsid w:val="003451F6"/>
    <w:rsid w:val="00346BD6"/>
    <w:rsid w:val="00350671"/>
    <w:rsid w:val="003522F4"/>
    <w:rsid w:val="00352ABA"/>
    <w:rsid w:val="00354D60"/>
    <w:rsid w:val="00355237"/>
    <w:rsid w:val="00356F27"/>
    <w:rsid w:val="00360F0A"/>
    <w:rsid w:val="00363F96"/>
    <w:rsid w:val="003648D6"/>
    <w:rsid w:val="003663CA"/>
    <w:rsid w:val="0038165F"/>
    <w:rsid w:val="00387219"/>
    <w:rsid w:val="0039215F"/>
    <w:rsid w:val="003925C2"/>
    <w:rsid w:val="0039304F"/>
    <w:rsid w:val="003937DB"/>
    <w:rsid w:val="0039552C"/>
    <w:rsid w:val="00395981"/>
    <w:rsid w:val="003A034D"/>
    <w:rsid w:val="003A096B"/>
    <w:rsid w:val="003A2253"/>
    <w:rsid w:val="003A3A1F"/>
    <w:rsid w:val="003A3F01"/>
    <w:rsid w:val="003A66DA"/>
    <w:rsid w:val="003A6BBA"/>
    <w:rsid w:val="003B1507"/>
    <w:rsid w:val="003B3157"/>
    <w:rsid w:val="003C15FD"/>
    <w:rsid w:val="003C31A8"/>
    <w:rsid w:val="003C35DB"/>
    <w:rsid w:val="003C3F8A"/>
    <w:rsid w:val="003D0D98"/>
    <w:rsid w:val="003D6C2C"/>
    <w:rsid w:val="003D6E62"/>
    <w:rsid w:val="003E00CB"/>
    <w:rsid w:val="003E1705"/>
    <w:rsid w:val="003E5B0B"/>
    <w:rsid w:val="003E6048"/>
    <w:rsid w:val="003E7095"/>
    <w:rsid w:val="003E7AF4"/>
    <w:rsid w:val="003F2091"/>
    <w:rsid w:val="003F6B6A"/>
    <w:rsid w:val="00401CD0"/>
    <w:rsid w:val="004020EF"/>
    <w:rsid w:val="0040263E"/>
    <w:rsid w:val="004059C7"/>
    <w:rsid w:val="0041563A"/>
    <w:rsid w:val="00417D08"/>
    <w:rsid w:val="004212E0"/>
    <w:rsid w:val="00427F4C"/>
    <w:rsid w:val="004300B8"/>
    <w:rsid w:val="00430C48"/>
    <w:rsid w:val="00431F2B"/>
    <w:rsid w:val="00432DC9"/>
    <w:rsid w:val="004337FE"/>
    <w:rsid w:val="00441370"/>
    <w:rsid w:val="00441470"/>
    <w:rsid w:val="0044162C"/>
    <w:rsid w:val="00441C6B"/>
    <w:rsid w:val="00442A96"/>
    <w:rsid w:val="004469D3"/>
    <w:rsid w:val="00447F4B"/>
    <w:rsid w:val="0045755C"/>
    <w:rsid w:val="004628E8"/>
    <w:rsid w:val="00463216"/>
    <w:rsid w:val="004646B6"/>
    <w:rsid w:val="0047171B"/>
    <w:rsid w:val="0047305B"/>
    <w:rsid w:val="004838AF"/>
    <w:rsid w:val="00483E20"/>
    <w:rsid w:val="00485176"/>
    <w:rsid w:val="00485473"/>
    <w:rsid w:val="004862B9"/>
    <w:rsid w:val="00490B88"/>
    <w:rsid w:val="00494FD5"/>
    <w:rsid w:val="004B1D6F"/>
    <w:rsid w:val="004B2187"/>
    <w:rsid w:val="004B2862"/>
    <w:rsid w:val="004B554F"/>
    <w:rsid w:val="004B5F45"/>
    <w:rsid w:val="004C797E"/>
    <w:rsid w:val="004D0B63"/>
    <w:rsid w:val="004D2D31"/>
    <w:rsid w:val="004D41CE"/>
    <w:rsid w:val="004E2795"/>
    <w:rsid w:val="004F1B79"/>
    <w:rsid w:val="004F5E28"/>
    <w:rsid w:val="00503C05"/>
    <w:rsid w:val="00510C9A"/>
    <w:rsid w:val="00511E1C"/>
    <w:rsid w:val="00520990"/>
    <w:rsid w:val="00522681"/>
    <w:rsid w:val="00532676"/>
    <w:rsid w:val="00537462"/>
    <w:rsid w:val="0054026F"/>
    <w:rsid w:val="0054028B"/>
    <w:rsid w:val="00541AC3"/>
    <w:rsid w:val="005430AD"/>
    <w:rsid w:val="00546EC1"/>
    <w:rsid w:val="00546F47"/>
    <w:rsid w:val="00554108"/>
    <w:rsid w:val="00554250"/>
    <w:rsid w:val="005613A1"/>
    <w:rsid w:val="00561514"/>
    <w:rsid w:val="00564CA6"/>
    <w:rsid w:val="005653A1"/>
    <w:rsid w:val="0056552D"/>
    <w:rsid w:val="00565687"/>
    <w:rsid w:val="00566FA3"/>
    <w:rsid w:val="00572723"/>
    <w:rsid w:val="005735BC"/>
    <w:rsid w:val="00577721"/>
    <w:rsid w:val="005817EF"/>
    <w:rsid w:val="0058568F"/>
    <w:rsid w:val="00593844"/>
    <w:rsid w:val="005960CA"/>
    <w:rsid w:val="005A05A5"/>
    <w:rsid w:val="005A3104"/>
    <w:rsid w:val="005A531C"/>
    <w:rsid w:val="005A6FCC"/>
    <w:rsid w:val="005B0112"/>
    <w:rsid w:val="005B22F5"/>
    <w:rsid w:val="005B50FA"/>
    <w:rsid w:val="005B540A"/>
    <w:rsid w:val="005B7F70"/>
    <w:rsid w:val="005C2EC3"/>
    <w:rsid w:val="005D186E"/>
    <w:rsid w:val="005D2C63"/>
    <w:rsid w:val="005D5654"/>
    <w:rsid w:val="005D71F8"/>
    <w:rsid w:val="005D747F"/>
    <w:rsid w:val="005E4222"/>
    <w:rsid w:val="005E69AA"/>
    <w:rsid w:val="005F41FC"/>
    <w:rsid w:val="005F7596"/>
    <w:rsid w:val="00600433"/>
    <w:rsid w:val="00601B1E"/>
    <w:rsid w:val="00604083"/>
    <w:rsid w:val="00611282"/>
    <w:rsid w:val="00612BF2"/>
    <w:rsid w:val="00615312"/>
    <w:rsid w:val="00615F6C"/>
    <w:rsid w:val="00617EF1"/>
    <w:rsid w:val="00625EAE"/>
    <w:rsid w:val="00630578"/>
    <w:rsid w:val="00630CAE"/>
    <w:rsid w:val="006315A6"/>
    <w:rsid w:val="00635800"/>
    <w:rsid w:val="0064012A"/>
    <w:rsid w:val="0064123C"/>
    <w:rsid w:val="00641CAF"/>
    <w:rsid w:val="00646A72"/>
    <w:rsid w:val="00646E99"/>
    <w:rsid w:val="00650F7A"/>
    <w:rsid w:val="00652191"/>
    <w:rsid w:val="00652756"/>
    <w:rsid w:val="00653A07"/>
    <w:rsid w:val="0065480A"/>
    <w:rsid w:val="00663494"/>
    <w:rsid w:val="00666650"/>
    <w:rsid w:val="00671FC3"/>
    <w:rsid w:val="006737B0"/>
    <w:rsid w:val="006748C4"/>
    <w:rsid w:val="00675501"/>
    <w:rsid w:val="0068017B"/>
    <w:rsid w:val="0068044F"/>
    <w:rsid w:val="00680DAF"/>
    <w:rsid w:val="00691463"/>
    <w:rsid w:val="00695A46"/>
    <w:rsid w:val="00696FC9"/>
    <w:rsid w:val="0069729D"/>
    <w:rsid w:val="006A0553"/>
    <w:rsid w:val="006A11C1"/>
    <w:rsid w:val="006A1E44"/>
    <w:rsid w:val="006A4077"/>
    <w:rsid w:val="006A460C"/>
    <w:rsid w:val="006B0656"/>
    <w:rsid w:val="006B3B5B"/>
    <w:rsid w:val="006B494C"/>
    <w:rsid w:val="006C0D8C"/>
    <w:rsid w:val="006C51F0"/>
    <w:rsid w:val="006C55BC"/>
    <w:rsid w:val="006D33BE"/>
    <w:rsid w:val="006D5855"/>
    <w:rsid w:val="006D5C24"/>
    <w:rsid w:val="006E7CC8"/>
    <w:rsid w:val="006F070F"/>
    <w:rsid w:val="006F0767"/>
    <w:rsid w:val="006F2512"/>
    <w:rsid w:val="006F3BAE"/>
    <w:rsid w:val="006F7CD3"/>
    <w:rsid w:val="00702081"/>
    <w:rsid w:val="00702097"/>
    <w:rsid w:val="007023B2"/>
    <w:rsid w:val="00706CE2"/>
    <w:rsid w:val="00707DCA"/>
    <w:rsid w:val="00711169"/>
    <w:rsid w:val="00713658"/>
    <w:rsid w:val="007142D8"/>
    <w:rsid w:val="007142F8"/>
    <w:rsid w:val="00721D35"/>
    <w:rsid w:val="00722CFC"/>
    <w:rsid w:val="0072441F"/>
    <w:rsid w:val="00727966"/>
    <w:rsid w:val="007350D8"/>
    <w:rsid w:val="00735715"/>
    <w:rsid w:val="0074230B"/>
    <w:rsid w:val="00743DA7"/>
    <w:rsid w:val="00747042"/>
    <w:rsid w:val="00750E96"/>
    <w:rsid w:val="00752AD6"/>
    <w:rsid w:val="00752C27"/>
    <w:rsid w:val="0076056D"/>
    <w:rsid w:val="00765F98"/>
    <w:rsid w:val="00770490"/>
    <w:rsid w:val="00771952"/>
    <w:rsid w:val="00775DFC"/>
    <w:rsid w:val="00776C0D"/>
    <w:rsid w:val="00776D3A"/>
    <w:rsid w:val="00776E62"/>
    <w:rsid w:val="00777207"/>
    <w:rsid w:val="00782FFB"/>
    <w:rsid w:val="00785635"/>
    <w:rsid w:val="00791A40"/>
    <w:rsid w:val="00793662"/>
    <w:rsid w:val="0079714E"/>
    <w:rsid w:val="007A39F6"/>
    <w:rsid w:val="007A6F97"/>
    <w:rsid w:val="007B1A33"/>
    <w:rsid w:val="007B370E"/>
    <w:rsid w:val="007B50B5"/>
    <w:rsid w:val="007C041E"/>
    <w:rsid w:val="007C72CF"/>
    <w:rsid w:val="007D0D80"/>
    <w:rsid w:val="007D1781"/>
    <w:rsid w:val="007D1B79"/>
    <w:rsid w:val="007E31BD"/>
    <w:rsid w:val="007E4793"/>
    <w:rsid w:val="007E61BE"/>
    <w:rsid w:val="007F35CC"/>
    <w:rsid w:val="007F6790"/>
    <w:rsid w:val="0080122A"/>
    <w:rsid w:val="0080158D"/>
    <w:rsid w:val="00804110"/>
    <w:rsid w:val="00804760"/>
    <w:rsid w:val="00804A5E"/>
    <w:rsid w:val="00804CA0"/>
    <w:rsid w:val="008054B1"/>
    <w:rsid w:val="00811EA6"/>
    <w:rsid w:val="0081441F"/>
    <w:rsid w:val="008154F7"/>
    <w:rsid w:val="0081607C"/>
    <w:rsid w:val="00823A03"/>
    <w:rsid w:val="00831FD2"/>
    <w:rsid w:val="0083379B"/>
    <w:rsid w:val="00833D7C"/>
    <w:rsid w:val="00834973"/>
    <w:rsid w:val="00836232"/>
    <w:rsid w:val="00841EF1"/>
    <w:rsid w:val="008454A3"/>
    <w:rsid w:val="00850353"/>
    <w:rsid w:val="0085214A"/>
    <w:rsid w:val="00853623"/>
    <w:rsid w:val="00855C8F"/>
    <w:rsid w:val="0085667D"/>
    <w:rsid w:val="0086435B"/>
    <w:rsid w:val="00866673"/>
    <w:rsid w:val="0087064F"/>
    <w:rsid w:val="008725CD"/>
    <w:rsid w:val="00874435"/>
    <w:rsid w:val="008815B5"/>
    <w:rsid w:val="00881B5E"/>
    <w:rsid w:val="008830BB"/>
    <w:rsid w:val="00883483"/>
    <w:rsid w:val="008873D3"/>
    <w:rsid w:val="008960FB"/>
    <w:rsid w:val="00896B27"/>
    <w:rsid w:val="008A26E6"/>
    <w:rsid w:val="008A2F87"/>
    <w:rsid w:val="008A37AB"/>
    <w:rsid w:val="008A6FD2"/>
    <w:rsid w:val="008B312C"/>
    <w:rsid w:val="008B363D"/>
    <w:rsid w:val="008C0A62"/>
    <w:rsid w:val="008C6119"/>
    <w:rsid w:val="008C6552"/>
    <w:rsid w:val="008D2065"/>
    <w:rsid w:val="008E0B34"/>
    <w:rsid w:val="008E3870"/>
    <w:rsid w:val="008F0B46"/>
    <w:rsid w:val="008F2BA3"/>
    <w:rsid w:val="00904F12"/>
    <w:rsid w:val="00907A42"/>
    <w:rsid w:val="00911D28"/>
    <w:rsid w:val="00912A5C"/>
    <w:rsid w:val="00914E4F"/>
    <w:rsid w:val="00916B9D"/>
    <w:rsid w:val="00923D1B"/>
    <w:rsid w:val="00926E37"/>
    <w:rsid w:val="00927163"/>
    <w:rsid w:val="00930CEC"/>
    <w:rsid w:val="00930D35"/>
    <w:rsid w:val="009330E6"/>
    <w:rsid w:val="00933760"/>
    <w:rsid w:val="00934B40"/>
    <w:rsid w:val="00937A87"/>
    <w:rsid w:val="00943E27"/>
    <w:rsid w:val="00944BE5"/>
    <w:rsid w:val="00945378"/>
    <w:rsid w:val="0094641A"/>
    <w:rsid w:val="00946AF3"/>
    <w:rsid w:val="0095216F"/>
    <w:rsid w:val="00970AAA"/>
    <w:rsid w:val="009718C0"/>
    <w:rsid w:val="00972D3A"/>
    <w:rsid w:val="00974402"/>
    <w:rsid w:val="009745FC"/>
    <w:rsid w:val="00974B3C"/>
    <w:rsid w:val="00975399"/>
    <w:rsid w:val="00977232"/>
    <w:rsid w:val="009812CC"/>
    <w:rsid w:val="00981E5D"/>
    <w:rsid w:val="00982814"/>
    <w:rsid w:val="009856FA"/>
    <w:rsid w:val="00991406"/>
    <w:rsid w:val="00992B47"/>
    <w:rsid w:val="009A1021"/>
    <w:rsid w:val="009A1802"/>
    <w:rsid w:val="009A2163"/>
    <w:rsid w:val="009A4182"/>
    <w:rsid w:val="009B1BAD"/>
    <w:rsid w:val="009B2474"/>
    <w:rsid w:val="009B42EB"/>
    <w:rsid w:val="009B58DB"/>
    <w:rsid w:val="009B613D"/>
    <w:rsid w:val="009C1E69"/>
    <w:rsid w:val="009C35CD"/>
    <w:rsid w:val="009C4CF7"/>
    <w:rsid w:val="009D01A7"/>
    <w:rsid w:val="009D0566"/>
    <w:rsid w:val="009D089A"/>
    <w:rsid w:val="009D28E1"/>
    <w:rsid w:val="009D62CB"/>
    <w:rsid w:val="009E1C33"/>
    <w:rsid w:val="009E5085"/>
    <w:rsid w:val="009E60CB"/>
    <w:rsid w:val="009F1D96"/>
    <w:rsid w:val="009F34FC"/>
    <w:rsid w:val="009F3720"/>
    <w:rsid w:val="009F698F"/>
    <w:rsid w:val="00A053EA"/>
    <w:rsid w:val="00A11C8E"/>
    <w:rsid w:val="00A13D19"/>
    <w:rsid w:val="00A17C6F"/>
    <w:rsid w:val="00A17D29"/>
    <w:rsid w:val="00A20716"/>
    <w:rsid w:val="00A2151D"/>
    <w:rsid w:val="00A229FC"/>
    <w:rsid w:val="00A22D2C"/>
    <w:rsid w:val="00A240F7"/>
    <w:rsid w:val="00A3280A"/>
    <w:rsid w:val="00A34E92"/>
    <w:rsid w:val="00A35E63"/>
    <w:rsid w:val="00A36BBC"/>
    <w:rsid w:val="00A41465"/>
    <w:rsid w:val="00A4165D"/>
    <w:rsid w:val="00A4365A"/>
    <w:rsid w:val="00A44598"/>
    <w:rsid w:val="00A5211B"/>
    <w:rsid w:val="00A53BE7"/>
    <w:rsid w:val="00A5530B"/>
    <w:rsid w:val="00A604BB"/>
    <w:rsid w:val="00A61B95"/>
    <w:rsid w:val="00A75933"/>
    <w:rsid w:val="00A7773B"/>
    <w:rsid w:val="00A829AE"/>
    <w:rsid w:val="00A83FCC"/>
    <w:rsid w:val="00A85C51"/>
    <w:rsid w:val="00A87489"/>
    <w:rsid w:val="00A906FA"/>
    <w:rsid w:val="00A9127F"/>
    <w:rsid w:val="00A91984"/>
    <w:rsid w:val="00A95090"/>
    <w:rsid w:val="00A97E69"/>
    <w:rsid w:val="00A97E93"/>
    <w:rsid w:val="00AA612E"/>
    <w:rsid w:val="00AC12D7"/>
    <w:rsid w:val="00AC2BBA"/>
    <w:rsid w:val="00AC2E29"/>
    <w:rsid w:val="00AC3370"/>
    <w:rsid w:val="00AC3608"/>
    <w:rsid w:val="00AC39E4"/>
    <w:rsid w:val="00AC610C"/>
    <w:rsid w:val="00AD17AA"/>
    <w:rsid w:val="00AD5217"/>
    <w:rsid w:val="00AE0DC4"/>
    <w:rsid w:val="00AE6E34"/>
    <w:rsid w:val="00AE7DC4"/>
    <w:rsid w:val="00AF0405"/>
    <w:rsid w:val="00AF1839"/>
    <w:rsid w:val="00AF2977"/>
    <w:rsid w:val="00AF3EE9"/>
    <w:rsid w:val="00AF520F"/>
    <w:rsid w:val="00B0272B"/>
    <w:rsid w:val="00B054DC"/>
    <w:rsid w:val="00B07735"/>
    <w:rsid w:val="00B13166"/>
    <w:rsid w:val="00B13802"/>
    <w:rsid w:val="00B30422"/>
    <w:rsid w:val="00B36AB4"/>
    <w:rsid w:val="00B37D26"/>
    <w:rsid w:val="00B4072B"/>
    <w:rsid w:val="00B40D96"/>
    <w:rsid w:val="00B419F5"/>
    <w:rsid w:val="00B43AA7"/>
    <w:rsid w:val="00B43E90"/>
    <w:rsid w:val="00B47989"/>
    <w:rsid w:val="00B51A14"/>
    <w:rsid w:val="00B570E9"/>
    <w:rsid w:val="00B613BC"/>
    <w:rsid w:val="00B64AC0"/>
    <w:rsid w:val="00B64D28"/>
    <w:rsid w:val="00B64E4A"/>
    <w:rsid w:val="00B7257F"/>
    <w:rsid w:val="00B72A03"/>
    <w:rsid w:val="00B76CB6"/>
    <w:rsid w:val="00B83ED5"/>
    <w:rsid w:val="00B879D6"/>
    <w:rsid w:val="00B87BBB"/>
    <w:rsid w:val="00B937CB"/>
    <w:rsid w:val="00B9795F"/>
    <w:rsid w:val="00BA5EA7"/>
    <w:rsid w:val="00BB7608"/>
    <w:rsid w:val="00BC75E5"/>
    <w:rsid w:val="00BD07E7"/>
    <w:rsid w:val="00BD3305"/>
    <w:rsid w:val="00BD4BC7"/>
    <w:rsid w:val="00BD64E8"/>
    <w:rsid w:val="00BD7D1D"/>
    <w:rsid w:val="00BE3E43"/>
    <w:rsid w:val="00BF268B"/>
    <w:rsid w:val="00BF4DD9"/>
    <w:rsid w:val="00BF528E"/>
    <w:rsid w:val="00C0186C"/>
    <w:rsid w:val="00C03B73"/>
    <w:rsid w:val="00C05376"/>
    <w:rsid w:val="00C10305"/>
    <w:rsid w:val="00C105C0"/>
    <w:rsid w:val="00C16501"/>
    <w:rsid w:val="00C25E63"/>
    <w:rsid w:val="00C37023"/>
    <w:rsid w:val="00C45F29"/>
    <w:rsid w:val="00C50666"/>
    <w:rsid w:val="00C54DE0"/>
    <w:rsid w:val="00C550F6"/>
    <w:rsid w:val="00C63CD5"/>
    <w:rsid w:val="00C65142"/>
    <w:rsid w:val="00C6776F"/>
    <w:rsid w:val="00C70387"/>
    <w:rsid w:val="00C7185F"/>
    <w:rsid w:val="00C743E3"/>
    <w:rsid w:val="00C74B57"/>
    <w:rsid w:val="00C74BEF"/>
    <w:rsid w:val="00C75D5C"/>
    <w:rsid w:val="00C76093"/>
    <w:rsid w:val="00C91CAA"/>
    <w:rsid w:val="00C91F5A"/>
    <w:rsid w:val="00C92090"/>
    <w:rsid w:val="00C9583C"/>
    <w:rsid w:val="00C9765A"/>
    <w:rsid w:val="00C97BA2"/>
    <w:rsid w:val="00CA480D"/>
    <w:rsid w:val="00CA5836"/>
    <w:rsid w:val="00CB0ED1"/>
    <w:rsid w:val="00CB3296"/>
    <w:rsid w:val="00CB5CAA"/>
    <w:rsid w:val="00CC0E08"/>
    <w:rsid w:val="00CC1024"/>
    <w:rsid w:val="00CC32AD"/>
    <w:rsid w:val="00CC372A"/>
    <w:rsid w:val="00CC38C8"/>
    <w:rsid w:val="00CC602B"/>
    <w:rsid w:val="00CD7850"/>
    <w:rsid w:val="00CE0EBC"/>
    <w:rsid w:val="00CE33E0"/>
    <w:rsid w:val="00CE48FE"/>
    <w:rsid w:val="00CE4B81"/>
    <w:rsid w:val="00CE5E1E"/>
    <w:rsid w:val="00CF2F32"/>
    <w:rsid w:val="00CF34FE"/>
    <w:rsid w:val="00CF4A7C"/>
    <w:rsid w:val="00CF7774"/>
    <w:rsid w:val="00CF79BF"/>
    <w:rsid w:val="00D00867"/>
    <w:rsid w:val="00D04F6C"/>
    <w:rsid w:val="00D06929"/>
    <w:rsid w:val="00D11E69"/>
    <w:rsid w:val="00D15F13"/>
    <w:rsid w:val="00D20C30"/>
    <w:rsid w:val="00D225C4"/>
    <w:rsid w:val="00D23393"/>
    <w:rsid w:val="00D30A6B"/>
    <w:rsid w:val="00D34E2D"/>
    <w:rsid w:val="00D36DFA"/>
    <w:rsid w:val="00D37258"/>
    <w:rsid w:val="00D44C18"/>
    <w:rsid w:val="00D465EE"/>
    <w:rsid w:val="00D46EA5"/>
    <w:rsid w:val="00D47079"/>
    <w:rsid w:val="00D51C1D"/>
    <w:rsid w:val="00D538E0"/>
    <w:rsid w:val="00D5438B"/>
    <w:rsid w:val="00D55767"/>
    <w:rsid w:val="00D57114"/>
    <w:rsid w:val="00D617C5"/>
    <w:rsid w:val="00D63603"/>
    <w:rsid w:val="00D713E6"/>
    <w:rsid w:val="00D7302E"/>
    <w:rsid w:val="00D8143E"/>
    <w:rsid w:val="00D8682E"/>
    <w:rsid w:val="00D90BC1"/>
    <w:rsid w:val="00D91836"/>
    <w:rsid w:val="00D92156"/>
    <w:rsid w:val="00D95663"/>
    <w:rsid w:val="00D95E85"/>
    <w:rsid w:val="00DA08F0"/>
    <w:rsid w:val="00DA1777"/>
    <w:rsid w:val="00DA7C37"/>
    <w:rsid w:val="00DB1FDA"/>
    <w:rsid w:val="00DB57C0"/>
    <w:rsid w:val="00DC2A7E"/>
    <w:rsid w:val="00DC374E"/>
    <w:rsid w:val="00DC4E2E"/>
    <w:rsid w:val="00DC5AE6"/>
    <w:rsid w:val="00DD089D"/>
    <w:rsid w:val="00DD1BD1"/>
    <w:rsid w:val="00DD2F62"/>
    <w:rsid w:val="00DD34C3"/>
    <w:rsid w:val="00DD380D"/>
    <w:rsid w:val="00DE0D79"/>
    <w:rsid w:val="00DE36F5"/>
    <w:rsid w:val="00DE46B0"/>
    <w:rsid w:val="00DE4FC9"/>
    <w:rsid w:val="00DF0C4F"/>
    <w:rsid w:val="00DF1302"/>
    <w:rsid w:val="00E04F59"/>
    <w:rsid w:val="00E0556E"/>
    <w:rsid w:val="00E11D54"/>
    <w:rsid w:val="00E128F8"/>
    <w:rsid w:val="00E2182E"/>
    <w:rsid w:val="00E26809"/>
    <w:rsid w:val="00E26A9D"/>
    <w:rsid w:val="00E3164A"/>
    <w:rsid w:val="00E31FD2"/>
    <w:rsid w:val="00E3350E"/>
    <w:rsid w:val="00E40B06"/>
    <w:rsid w:val="00E4554C"/>
    <w:rsid w:val="00E51946"/>
    <w:rsid w:val="00E61250"/>
    <w:rsid w:val="00E70400"/>
    <w:rsid w:val="00E73855"/>
    <w:rsid w:val="00E80CE7"/>
    <w:rsid w:val="00E80D25"/>
    <w:rsid w:val="00E872F1"/>
    <w:rsid w:val="00E877B1"/>
    <w:rsid w:val="00E9051C"/>
    <w:rsid w:val="00E942A3"/>
    <w:rsid w:val="00E94BC1"/>
    <w:rsid w:val="00E96EDD"/>
    <w:rsid w:val="00E97E75"/>
    <w:rsid w:val="00EA0B57"/>
    <w:rsid w:val="00EA33CC"/>
    <w:rsid w:val="00EA58E1"/>
    <w:rsid w:val="00EB2486"/>
    <w:rsid w:val="00EB29CC"/>
    <w:rsid w:val="00EC0BF7"/>
    <w:rsid w:val="00EC1324"/>
    <w:rsid w:val="00EC573B"/>
    <w:rsid w:val="00ED3349"/>
    <w:rsid w:val="00EE529D"/>
    <w:rsid w:val="00EF27F1"/>
    <w:rsid w:val="00EF40B1"/>
    <w:rsid w:val="00F014AB"/>
    <w:rsid w:val="00F0489A"/>
    <w:rsid w:val="00F056CE"/>
    <w:rsid w:val="00F06E03"/>
    <w:rsid w:val="00F074F5"/>
    <w:rsid w:val="00F076CC"/>
    <w:rsid w:val="00F077B1"/>
    <w:rsid w:val="00F1024B"/>
    <w:rsid w:val="00F10640"/>
    <w:rsid w:val="00F13F89"/>
    <w:rsid w:val="00F145DB"/>
    <w:rsid w:val="00F158E7"/>
    <w:rsid w:val="00F15D91"/>
    <w:rsid w:val="00F217E1"/>
    <w:rsid w:val="00F21CE3"/>
    <w:rsid w:val="00F234B3"/>
    <w:rsid w:val="00F240A7"/>
    <w:rsid w:val="00F25BB8"/>
    <w:rsid w:val="00F2600C"/>
    <w:rsid w:val="00F27CF3"/>
    <w:rsid w:val="00F30286"/>
    <w:rsid w:val="00F307E7"/>
    <w:rsid w:val="00F4019B"/>
    <w:rsid w:val="00F4198C"/>
    <w:rsid w:val="00F47D93"/>
    <w:rsid w:val="00F50278"/>
    <w:rsid w:val="00F522B3"/>
    <w:rsid w:val="00F547B0"/>
    <w:rsid w:val="00F5670A"/>
    <w:rsid w:val="00F6152C"/>
    <w:rsid w:val="00F6245F"/>
    <w:rsid w:val="00F638FE"/>
    <w:rsid w:val="00F65929"/>
    <w:rsid w:val="00F71716"/>
    <w:rsid w:val="00F71766"/>
    <w:rsid w:val="00F71A74"/>
    <w:rsid w:val="00F73AF9"/>
    <w:rsid w:val="00F741D1"/>
    <w:rsid w:val="00F8698D"/>
    <w:rsid w:val="00F86DB7"/>
    <w:rsid w:val="00F90F37"/>
    <w:rsid w:val="00F92A92"/>
    <w:rsid w:val="00F94E18"/>
    <w:rsid w:val="00F96F11"/>
    <w:rsid w:val="00F9756E"/>
    <w:rsid w:val="00F97888"/>
    <w:rsid w:val="00FA0DB2"/>
    <w:rsid w:val="00FA2E8B"/>
    <w:rsid w:val="00FA469E"/>
    <w:rsid w:val="00FA4FA0"/>
    <w:rsid w:val="00FA616D"/>
    <w:rsid w:val="00FB33F8"/>
    <w:rsid w:val="00FB3D04"/>
    <w:rsid w:val="00FB3F83"/>
    <w:rsid w:val="00FB6CA1"/>
    <w:rsid w:val="00FB77FB"/>
    <w:rsid w:val="00FC0364"/>
    <w:rsid w:val="00FC1331"/>
    <w:rsid w:val="00FC16DF"/>
    <w:rsid w:val="00FC2B38"/>
    <w:rsid w:val="00FC613A"/>
    <w:rsid w:val="00FC67AF"/>
    <w:rsid w:val="00FC7E00"/>
    <w:rsid w:val="00FD65F1"/>
    <w:rsid w:val="00FE2365"/>
    <w:rsid w:val="00FE4949"/>
    <w:rsid w:val="00FE53F4"/>
    <w:rsid w:val="00FE5741"/>
    <w:rsid w:val="00FE5CDD"/>
    <w:rsid w:val="00FF0767"/>
    <w:rsid w:val="00FF4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5747B6CD-509A-400C-8ECE-8727A5D3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CA"/>
    <w:rPr>
      <w:sz w:val="22"/>
      <w:szCs w:val="22"/>
    </w:rPr>
  </w:style>
  <w:style w:type="paragraph" w:styleId="Titre1">
    <w:name w:val="heading 1"/>
    <w:basedOn w:val="Normal"/>
    <w:next w:val="Normal"/>
    <w:qFormat/>
    <w:rsid w:val="001F5BCA"/>
    <w:pPr>
      <w:keepNext/>
      <w:keepLines/>
      <w:pBdr>
        <w:top w:val="single" w:sz="6" w:space="12" w:color="000000"/>
        <w:left w:val="single" w:sz="6" w:space="0" w:color="000000"/>
        <w:bottom w:val="single" w:sz="6" w:space="12" w:color="000000"/>
        <w:right w:val="single" w:sz="6" w:space="0" w:color="000000"/>
      </w:pBdr>
      <w:shd w:val="pct10" w:color="auto" w:fill="auto"/>
      <w:tabs>
        <w:tab w:val="left" w:pos="10224"/>
      </w:tabs>
      <w:ind w:left="1134" w:right="1134"/>
      <w:jc w:val="center"/>
      <w:outlineLvl w:val="0"/>
    </w:pPr>
    <w:rPr>
      <w:rFonts w:ascii="CG Times" w:hAnsi="CG Times"/>
      <w:b/>
      <w:bCs/>
      <w:snapToGrid w:val="0"/>
      <w:sz w:val="28"/>
      <w:szCs w:val="28"/>
    </w:rPr>
  </w:style>
  <w:style w:type="paragraph" w:styleId="Titre2">
    <w:name w:val="heading 2"/>
    <w:basedOn w:val="Normal"/>
    <w:next w:val="Normal"/>
    <w:qFormat/>
    <w:rsid w:val="001F5BCA"/>
    <w:pPr>
      <w:keepNext/>
      <w:keepLines/>
      <w:tabs>
        <w:tab w:val="left" w:pos="10224"/>
      </w:tabs>
      <w:jc w:val="center"/>
      <w:outlineLvl w:val="1"/>
    </w:pPr>
    <w:rPr>
      <w:rFonts w:ascii="Bookman" w:hAnsi="Bookman"/>
      <w:b/>
      <w:bCs/>
      <w:snapToGrid w:val="0"/>
      <w:sz w:val="24"/>
      <w:szCs w:val="24"/>
    </w:rPr>
  </w:style>
  <w:style w:type="paragraph" w:styleId="Titre3">
    <w:name w:val="heading 3"/>
    <w:basedOn w:val="Normal"/>
    <w:next w:val="Normal"/>
    <w:qFormat/>
    <w:rsid w:val="001F5BCA"/>
    <w:pPr>
      <w:keepNext/>
      <w:tabs>
        <w:tab w:val="left" w:pos="10224"/>
      </w:tabs>
      <w:jc w:val="center"/>
      <w:outlineLvl w:val="2"/>
    </w:pPr>
    <w:rPr>
      <w:b/>
      <w:bCs/>
      <w:snapToGrid w:val="0"/>
      <w:sz w:val="24"/>
      <w:szCs w:val="24"/>
      <w:u w:val="single"/>
    </w:rPr>
  </w:style>
  <w:style w:type="paragraph" w:styleId="Titre4">
    <w:name w:val="heading 4"/>
    <w:basedOn w:val="Normal"/>
    <w:next w:val="Normal"/>
    <w:qFormat/>
    <w:rsid w:val="001F5BCA"/>
    <w:pPr>
      <w:keepNext/>
      <w:ind w:left="4820"/>
      <w:outlineLvl w:val="3"/>
    </w:pPr>
    <w:rPr>
      <w:snapToGrid w:val="0"/>
      <w:sz w:val="24"/>
      <w:szCs w:val="24"/>
    </w:rPr>
  </w:style>
  <w:style w:type="paragraph" w:styleId="Titre5">
    <w:name w:val="heading 5"/>
    <w:basedOn w:val="Normal"/>
    <w:next w:val="Normal"/>
    <w:qFormat/>
    <w:rsid w:val="001F5BCA"/>
    <w:pPr>
      <w:keepNext/>
      <w:ind w:left="3402"/>
      <w:outlineLvl w:val="4"/>
    </w:pPr>
    <w:rPr>
      <w:snapToGrid w:val="0"/>
      <w:sz w:val="24"/>
      <w:szCs w:val="24"/>
    </w:rPr>
  </w:style>
  <w:style w:type="paragraph" w:styleId="Titre6">
    <w:name w:val="heading 6"/>
    <w:basedOn w:val="Normal"/>
    <w:next w:val="Normal"/>
    <w:qFormat/>
    <w:rsid w:val="001F5BCA"/>
    <w:pPr>
      <w:keepNext/>
      <w:keepLines/>
      <w:tabs>
        <w:tab w:val="left" w:pos="10224"/>
      </w:tabs>
      <w:jc w:val="both"/>
      <w:outlineLvl w:val="5"/>
    </w:pPr>
    <w:rPr>
      <w:rFonts w:ascii="Bookman" w:hAnsi="Bookman"/>
      <w:i/>
      <w:iCs/>
      <w:snapToGrid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ALERIE1">
    <w:name w:val="VALERIE1"/>
    <w:basedOn w:val="Normal"/>
    <w:autoRedefine/>
    <w:rsid w:val="001F5BCA"/>
    <w:pPr>
      <w:pBdr>
        <w:bottom w:val="double" w:sz="4" w:space="1" w:color="auto"/>
      </w:pBdr>
      <w:jc w:val="center"/>
    </w:pPr>
    <w:rPr>
      <w:b/>
      <w:bCs/>
      <w:i/>
      <w:iCs/>
      <w:sz w:val="32"/>
      <w:szCs w:val="32"/>
    </w:rPr>
  </w:style>
  <w:style w:type="paragraph" w:styleId="Retraitcorpsdetexte">
    <w:name w:val="Body Text Indent"/>
    <w:basedOn w:val="Normal"/>
    <w:rsid w:val="001F5BCA"/>
    <w:pPr>
      <w:tabs>
        <w:tab w:val="left" w:pos="10224"/>
      </w:tabs>
      <w:ind w:left="851" w:firstLine="850"/>
      <w:jc w:val="both"/>
    </w:pPr>
    <w:rPr>
      <w:snapToGrid w:val="0"/>
      <w:sz w:val="24"/>
      <w:szCs w:val="24"/>
    </w:rPr>
  </w:style>
  <w:style w:type="paragraph" w:styleId="Retraitcorpsdetexte2">
    <w:name w:val="Body Text Indent 2"/>
    <w:basedOn w:val="Normal"/>
    <w:rsid w:val="001F5BCA"/>
    <w:pPr>
      <w:tabs>
        <w:tab w:val="left" w:pos="10224"/>
      </w:tabs>
      <w:ind w:left="851" w:firstLine="283"/>
      <w:jc w:val="both"/>
    </w:pPr>
    <w:rPr>
      <w:b/>
      <w:bCs/>
      <w:snapToGrid w:val="0"/>
      <w:sz w:val="24"/>
      <w:szCs w:val="24"/>
    </w:rPr>
  </w:style>
  <w:style w:type="paragraph" w:styleId="Retraitcorpsdetexte3">
    <w:name w:val="Body Text Indent 3"/>
    <w:basedOn w:val="Normal"/>
    <w:rsid w:val="001F5BCA"/>
    <w:pPr>
      <w:tabs>
        <w:tab w:val="left" w:pos="10224"/>
      </w:tabs>
      <w:ind w:left="851" w:firstLine="851"/>
      <w:jc w:val="both"/>
    </w:pPr>
    <w:rPr>
      <w:snapToGrid w:val="0"/>
      <w:sz w:val="24"/>
      <w:szCs w:val="24"/>
    </w:rPr>
  </w:style>
  <w:style w:type="paragraph" w:styleId="Textedebulles">
    <w:name w:val="Balloon Text"/>
    <w:basedOn w:val="Normal"/>
    <w:semiHidden/>
    <w:rsid w:val="001F5BCA"/>
    <w:rPr>
      <w:rFonts w:ascii="Tahoma" w:hAnsi="Tahoma" w:cs="Tahoma"/>
      <w:sz w:val="16"/>
      <w:szCs w:val="16"/>
    </w:rPr>
  </w:style>
  <w:style w:type="table" w:styleId="Grilledutableau">
    <w:name w:val="Table Grid"/>
    <w:basedOn w:val="TableauNormal"/>
    <w:uiPriority w:val="59"/>
    <w:rsid w:val="0043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BF528E"/>
    <w:rPr>
      <w:color w:val="0000FF"/>
      <w:u w:val="single"/>
    </w:rPr>
  </w:style>
  <w:style w:type="paragraph" w:styleId="Corpsdetexte2">
    <w:name w:val="Body Text 2"/>
    <w:basedOn w:val="Normal"/>
    <w:rsid w:val="00BC75E5"/>
    <w:pPr>
      <w:spacing w:after="120" w:line="480" w:lineRule="auto"/>
    </w:pPr>
  </w:style>
  <w:style w:type="paragraph" w:styleId="En-tte">
    <w:name w:val="header"/>
    <w:basedOn w:val="Normal"/>
    <w:link w:val="En-tteCar"/>
    <w:uiPriority w:val="99"/>
    <w:unhideWhenUsed/>
    <w:rsid w:val="00AF1839"/>
    <w:pPr>
      <w:tabs>
        <w:tab w:val="center" w:pos="4536"/>
        <w:tab w:val="right" w:pos="9072"/>
      </w:tabs>
    </w:pPr>
  </w:style>
  <w:style w:type="character" w:customStyle="1" w:styleId="En-tteCar">
    <w:name w:val="En-tête Car"/>
    <w:basedOn w:val="Policepardfaut"/>
    <w:link w:val="En-tte"/>
    <w:uiPriority w:val="99"/>
    <w:rsid w:val="00AF1839"/>
    <w:rPr>
      <w:sz w:val="22"/>
      <w:szCs w:val="22"/>
    </w:rPr>
  </w:style>
  <w:style w:type="paragraph" w:styleId="Pieddepage">
    <w:name w:val="footer"/>
    <w:basedOn w:val="Normal"/>
    <w:link w:val="PieddepageCar"/>
    <w:uiPriority w:val="99"/>
    <w:unhideWhenUsed/>
    <w:rsid w:val="00AF1839"/>
    <w:pPr>
      <w:tabs>
        <w:tab w:val="center" w:pos="4536"/>
        <w:tab w:val="right" w:pos="9072"/>
      </w:tabs>
    </w:pPr>
  </w:style>
  <w:style w:type="character" w:customStyle="1" w:styleId="PieddepageCar">
    <w:name w:val="Pied de page Car"/>
    <w:basedOn w:val="Policepardfaut"/>
    <w:link w:val="Pieddepage"/>
    <w:uiPriority w:val="99"/>
    <w:rsid w:val="00AF1839"/>
    <w:rPr>
      <w:sz w:val="22"/>
      <w:szCs w:val="22"/>
    </w:rPr>
  </w:style>
  <w:style w:type="character" w:styleId="Numrodepage">
    <w:name w:val="page number"/>
    <w:basedOn w:val="Policepardfaut"/>
    <w:rsid w:val="000F3941"/>
  </w:style>
  <w:style w:type="paragraph" w:styleId="Corpsdetexte">
    <w:name w:val="Body Text"/>
    <w:basedOn w:val="Normal"/>
    <w:link w:val="CorpsdetexteCar"/>
    <w:uiPriority w:val="99"/>
    <w:semiHidden/>
    <w:unhideWhenUsed/>
    <w:rsid w:val="002B4190"/>
    <w:pPr>
      <w:spacing w:after="120"/>
    </w:pPr>
  </w:style>
  <w:style w:type="character" w:customStyle="1" w:styleId="CorpsdetexteCar">
    <w:name w:val="Corps de texte Car"/>
    <w:basedOn w:val="Policepardfaut"/>
    <w:link w:val="Corpsdetexte"/>
    <w:uiPriority w:val="99"/>
    <w:semiHidden/>
    <w:rsid w:val="002B4190"/>
    <w:rPr>
      <w:sz w:val="22"/>
      <w:szCs w:val="22"/>
    </w:rPr>
  </w:style>
  <w:style w:type="paragraph" w:customStyle="1" w:styleId="RdaliaTitredossier">
    <w:name w:val="Rédalia : Titre dossier"/>
    <w:basedOn w:val="Normal"/>
    <w:rsid w:val="00430C48"/>
    <w:pPr>
      <w:jc w:val="center"/>
    </w:pPr>
    <w:rPr>
      <w:rFonts w:ascii="Verdana" w:hAnsi="Verdana"/>
      <w:sz w:val="48"/>
      <w:szCs w:val="48"/>
    </w:rPr>
  </w:style>
  <w:style w:type="paragraph" w:customStyle="1" w:styleId="RedaliaNormal">
    <w:name w:val="Redalia : Normal"/>
    <w:basedOn w:val="Normal"/>
    <w:rsid w:val="00721D35"/>
    <w:pPr>
      <w:keepNext/>
      <w:keepLines/>
      <w:spacing w:before="40"/>
      <w:jc w:val="both"/>
    </w:pPr>
    <w:rPr>
      <w:rFonts w:ascii="Verdana" w:hAnsi="Verdana"/>
    </w:rPr>
  </w:style>
  <w:style w:type="paragraph" w:customStyle="1" w:styleId="RdaliaPieddepage">
    <w:name w:val="Rédalia : Pied de page"/>
    <w:basedOn w:val="Normal"/>
    <w:rsid w:val="00EF27F1"/>
    <w:pPr>
      <w:keepNext/>
      <w:keepLines/>
      <w:spacing w:before="40"/>
      <w:jc w:val="both"/>
    </w:pPr>
    <w:rPr>
      <w:rFonts w:ascii="Verdana" w:hAnsi="Verdana"/>
      <w:sz w:val="18"/>
      <w:szCs w:val="18"/>
    </w:rPr>
  </w:style>
  <w:style w:type="character" w:styleId="lev">
    <w:name w:val="Strong"/>
    <w:basedOn w:val="Policepardfaut"/>
    <w:uiPriority w:val="22"/>
    <w:qFormat/>
    <w:rsid w:val="00A906FA"/>
    <w:rPr>
      <w:b/>
      <w:bCs/>
    </w:rPr>
  </w:style>
  <w:style w:type="paragraph" w:customStyle="1" w:styleId="Pa4">
    <w:name w:val="Pa4"/>
    <w:basedOn w:val="Normal"/>
    <w:next w:val="Normal"/>
    <w:uiPriority w:val="99"/>
    <w:rsid w:val="00A906FA"/>
    <w:pPr>
      <w:autoSpaceDE w:val="0"/>
      <w:autoSpaceDN w:val="0"/>
      <w:adjustRightInd w:val="0"/>
      <w:spacing w:line="201" w:lineRule="atLeast"/>
    </w:pPr>
    <w:rPr>
      <w:rFonts w:ascii="HelveticaNeueLT Std" w:eastAsia="Calibri" w:hAnsi="HelveticaNeueLT Std"/>
      <w:sz w:val="24"/>
      <w:szCs w:val="24"/>
      <w:lang w:eastAsia="en-US"/>
    </w:rPr>
  </w:style>
  <w:style w:type="character" w:customStyle="1" w:styleId="A6">
    <w:name w:val="A6"/>
    <w:uiPriority w:val="99"/>
    <w:rsid w:val="00A906FA"/>
    <w:rPr>
      <w:rFonts w:cs="HelveticaNeueLT Std"/>
      <w:color w:val="000000"/>
      <w:sz w:val="11"/>
      <w:szCs w:val="11"/>
    </w:rPr>
  </w:style>
  <w:style w:type="paragraph" w:styleId="Paragraphedeliste">
    <w:name w:val="List Paragraph"/>
    <w:basedOn w:val="Normal"/>
    <w:uiPriority w:val="34"/>
    <w:qFormat/>
    <w:rsid w:val="003A3F01"/>
    <w:pPr>
      <w:widowControl w:val="0"/>
      <w:spacing w:after="200" w:line="276" w:lineRule="auto"/>
      <w:ind w:left="720"/>
      <w:contextualSpacing/>
    </w:pPr>
    <w:rPr>
      <w:rFonts w:ascii="Calibri" w:eastAsia="Calibri" w:hAnsi="Calibri"/>
      <w:lang w:val="en-US" w:eastAsia="en-US"/>
    </w:rPr>
  </w:style>
  <w:style w:type="character" w:styleId="Appelnotedebasdep">
    <w:name w:val="footnote reference"/>
    <w:uiPriority w:val="99"/>
    <w:semiHidden/>
    <w:rsid w:val="008A26E6"/>
    <w:rPr>
      <w:vertAlign w:val="superscript"/>
    </w:rPr>
  </w:style>
  <w:style w:type="paragraph" w:styleId="Notedebasdepage">
    <w:name w:val="footnote text"/>
    <w:basedOn w:val="Normal"/>
    <w:link w:val="NotedebasdepageCar"/>
    <w:uiPriority w:val="99"/>
    <w:semiHidden/>
    <w:rsid w:val="008A26E6"/>
    <w:rPr>
      <w:rFonts w:ascii="Arial Narrow" w:hAnsi="Arial Narrow"/>
      <w:sz w:val="24"/>
      <w:szCs w:val="20"/>
    </w:rPr>
  </w:style>
  <w:style w:type="character" w:customStyle="1" w:styleId="NotedebasdepageCar">
    <w:name w:val="Note de bas de page Car"/>
    <w:basedOn w:val="Policepardfaut"/>
    <w:link w:val="Notedebasdepage"/>
    <w:uiPriority w:val="99"/>
    <w:semiHidden/>
    <w:rsid w:val="008A26E6"/>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759">
      <w:bodyDiv w:val="1"/>
      <w:marLeft w:val="0"/>
      <w:marRight w:val="0"/>
      <w:marTop w:val="0"/>
      <w:marBottom w:val="0"/>
      <w:divBdr>
        <w:top w:val="none" w:sz="0" w:space="0" w:color="auto"/>
        <w:left w:val="none" w:sz="0" w:space="0" w:color="auto"/>
        <w:bottom w:val="none" w:sz="0" w:space="0" w:color="auto"/>
        <w:right w:val="none" w:sz="0" w:space="0" w:color="auto"/>
      </w:divBdr>
    </w:div>
    <w:div w:id="490024641">
      <w:bodyDiv w:val="1"/>
      <w:marLeft w:val="0"/>
      <w:marRight w:val="0"/>
      <w:marTop w:val="0"/>
      <w:marBottom w:val="0"/>
      <w:divBdr>
        <w:top w:val="none" w:sz="0" w:space="0" w:color="auto"/>
        <w:left w:val="none" w:sz="0" w:space="0" w:color="auto"/>
        <w:bottom w:val="none" w:sz="0" w:space="0" w:color="auto"/>
        <w:right w:val="none" w:sz="0" w:space="0" w:color="auto"/>
      </w:divBdr>
    </w:div>
    <w:div w:id="608388505">
      <w:bodyDiv w:val="1"/>
      <w:marLeft w:val="0"/>
      <w:marRight w:val="0"/>
      <w:marTop w:val="0"/>
      <w:marBottom w:val="0"/>
      <w:divBdr>
        <w:top w:val="none" w:sz="0" w:space="0" w:color="auto"/>
        <w:left w:val="none" w:sz="0" w:space="0" w:color="auto"/>
        <w:bottom w:val="none" w:sz="0" w:space="0" w:color="auto"/>
        <w:right w:val="none" w:sz="0" w:space="0" w:color="auto"/>
      </w:divBdr>
    </w:div>
    <w:div w:id="709648881">
      <w:bodyDiv w:val="1"/>
      <w:marLeft w:val="0"/>
      <w:marRight w:val="0"/>
      <w:marTop w:val="0"/>
      <w:marBottom w:val="0"/>
      <w:divBdr>
        <w:top w:val="none" w:sz="0" w:space="0" w:color="auto"/>
        <w:left w:val="none" w:sz="0" w:space="0" w:color="auto"/>
        <w:bottom w:val="none" w:sz="0" w:space="0" w:color="auto"/>
        <w:right w:val="none" w:sz="0" w:space="0" w:color="auto"/>
      </w:divBdr>
    </w:div>
    <w:div w:id="729497439">
      <w:bodyDiv w:val="1"/>
      <w:marLeft w:val="0"/>
      <w:marRight w:val="0"/>
      <w:marTop w:val="0"/>
      <w:marBottom w:val="0"/>
      <w:divBdr>
        <w:top w:val="none" w:sz="0" w:space="0" w:color="auto"/>
        <w:left w:val="none" w:sz="0" w:space="0" w:color="auto"/>
        <w:bottom w:val="none" w:sz="0" w:space="0" w:color="auto"/>
        <w:right w:val="none" w:sz="0" w:space="0" w:color="auto"/>
      </w:divBdr>
    </w:div>
    <w:div w:id="764300857">
      <w:bodyDiv w:val="1"/>
      <w:marLeft w:val="0"/>
      <w:marRight w:val="0"/>
      <w:marTop w:val="0"/>
      <w:marBottom w:val="0"/>
      <w:divBdr>
        <w:top w:val="none" w:sz="0" w:space="0" w:color="auto"/>
        <w:left w:val="none" w:sz="0" w:space="0" w:color="auto"/>
        <w:bottom w:val="none" w:sz="0" w:space="0" w:color="auto"/>
        <w:right w:val="none" w:sz="0" w:space="0" w:color="auto"/>
      </w:divBdr>
    </w:div>
    <w:div w:id="1616331956">
      <w:bodyDiv w:val="1"/>
      <w:marLeft w:val="0"/>
      <w:marRight w:val="0"/>
      <w:marTop w:val="0"/>
      <w:marBottom w:val="0"/>
      <w:divBdr>
        <w:top w:val="none" w:sz="0" w:space="0" w:color="auto"/>
        <w:left w:val="none" w:sz="0" w:space="0" w:color="auto"/>
        <w:bottom w:val="none" w:sz="0" w:space="0" w:color="auto"/>
        <w:right w:val="none" w:sz="0" w:space="0" w:color="auto"/>
      </w:divBdr>
    </w:div>
    <w:div w:id="1933734840">
      <w:bodyDiv w:val="1"/>
      <w:marLeft w:val="0"/>
      <w:marRight w:val="0"/>
      <w:marTop w:val="0"/>
      <w:marBottom w:val="0"/>
      <w:divBdr>
        <w:top w:val="none" w:sz="0" w:space="0" w:color="auto"/>
        <w:left w:val="none" w:sz="0" w:space="0" w:color="auto"/>
        <w:bottom w:val="none" w:sz="0" w:space="0" w:color="auto"/>
        <w:right w:val="none" w:sz="0" w:space="0" w:color="auto"/>
      </w:divBdr>
    </w:div>
    <w:div w:id="20356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88875-48A1-4105-9F5B-21A5DC43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2579</Words>
  <Characters>14593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MAITRE D'OUVRAGE :</vt:lpstr>
    </vt:vector>
  </TitlesOfParts>
  <Company>Hewlett-Packard Company</Company>
  <LinksUpToDate>false</LinksUpToDate>
  <CharactersWithSpaces>17138</CharactersWithSpaces>
  <SharedDoc>false</SharedDoc>
  <HLinks>
    <vt:vector size="6" baseType="variant">
      <vt:variant>
        <vt:i4>3801119</vt:i4>
      </vt:variant>
      <vt:variant>
        <vt:i4>0</vt:i4>
      </vt:variant>
      <vt:variant>
        <vt:i4>0</vt:i4>
      </vt:variant>
      <vt:variant>
        <vt:i4>5</vt:i4>
      </vt:variant>
      <vt:variant>
        <vt:lpwstr>mailto:achatelectricite@sde76.fr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MAITRE D'OUVRAGE :</dc:title>
  <dc:creator>BERNADETTE</dc:creator>
  <cp:lastModifiedBy>Carole CD. DAMAREY</cp:lastModifiedBy>
  <cp:revision>11</cp:revision>
  <cp:lastPrinted>2018-09-21T05:26:00Z</cp:lastPrinted>
  <dcterms:created xsi:type="dcterms:W3CDTF">2018-09-18T09:38:00Z</dcterms:created>
  <dcterms:modified xsi:type="dcterms:W3CDTF">2018-09-21T09:36:00Z</dcterms:modified>
</cp:coreProperties>
</file>